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40503" w14:textId="77777777" w:rsidR="00D56E03" w:rsidRPr="00343FDF" w:rsidRDefault="00D56E03">
      <w:pPr>
        <w:widowControl/>
        <w:shd w:val="clear" w:color="auto" w:fill="FFFFFF"/>
        <w:spacing w:afterLines="100" w:after="312" w:line="440" w:lineRule="exact"/>
        <w:jc w:val="center"/>
        <w:rPr>
          <w:rFonts w:ascii="黑体" w:eastAsia="黑体" w:hAnsi="黑体" w:hint="eastAsia"/>
          <w:b/>
          <w:sz w:val="32"/>
          <w:szCs w:val="44"/>
        </w:rPr>
      </w:pPr>
    </w:p>
    <w:p w14:paraId="303137DB" w14:textId="77777777" w:rsidR="00D56E03" w:rsidRPr="00343FDF" w:rsidRDefault="00D56E03">
      <w:pPr>
        <w:widowControl/>
        <w:shd w:val="clear" w:color="auto" w:fill="FFFFFF"/>
        <w:spacing w:afterLines="100" w:after="312" w:line="440" w:lineRule="exact"/>
        <w:jc w:val="center"/>
        <w:rPr>
          <w:rFonts w:ascii="黑体" w:eastAsia="黑体" w:hAnsi="黑体" w:hint="eastAsia"/>
          <w:b/>
          <w:sz w:val="32"/>
          <w:szCs w:val="44"/>
        </w:rPr>
      </w:pPr>
    </w:p>
    <w:p w14:paraId="6B389862" w14:textId="77777777" w:rsidR="00D56E03" w:rsidRPr="00343FDF" w:rsidRDefault="00000000">
      <w:pPr>
        <w:widowControl/>
        <w:shd w:val="clear" w:color="auto" w:fill="FFFFFF"/>
        <w:spacing w:afterLines="100" w:after="312" w:line="580" w:lineRule="exact"/>
        <w:jc w:val="center"/>
        <w:rPr>
          <w:rFonts w:ascii="黑体" w:eastAsia="黑体" w:hAnsi="黑体" w:hint="eastAsia"/>
          <w:bCs/>
          <w:sz w:val="52"/>
          <w:szCs w:val="52"/>
        </w:rPr>
      </w:pPr>
      <w:r w:rsidRPr="00343FDF">
        <w:rPr>
          <w:rFonts w:ascii="黑体" w:eastAsia="黑体" w:hAnsi="黑体" w:hint="eastAsia"/>
          <w:bCs/>
          <w:sz w:val="52"/>
          <w:szCs w:val="52"/>
        </w:rPr>
        <w:t>涉重金属矿山环境污染防治技术指南 第5部分：历史遗留矿山治理可行性研究报告编制</w:t>
      </w:r>
    </w:p>
    <w:p w14:paraId="753AE0E8" w14:textId="77777777" w:rsidR="00D56E03" w:rsidRPr="00343FDF" w:rsidRDefault="00D56E03">
      <w:pPr>
        <w:widowControl/>
        <w:shd w:val="clear" w:color="auto" w:fill="FFFFFF"/>
        <w:spacing w:afterLines="100" w:after="312" w:line="580" w:lineRule="exact"/>
        <w:jc w:val="center"/>
        <w:rPr>
          <w:rFonts w:ascii="黑体" w:eastAsia="黑体" w:hAnsi="黑体" w:hint="eastAsia"/>
          <w:b/>
          <w:sz w:val="36"/>
          <w:szCs w:val="36"/>
        </w:rPr>
      </w:pPr>
    </w:p>
    <w:p w14:paraId="6ED3277A" w14:textId="77777777" w:rsidR="00D56E03" w:rsidRPr="00343FDF" w:rsidRDefault="00D56E03">
      <w:pPr>
        <w:widowControl/>
        <w:shd w:val="clear" w:color="auto" w:fill="FFFFFF"/>
        <w:spacing w:afterLines="100" w:after="312" w:line="580" w:lineRule="exact"/>
        <w:jc w:val="center"/>
        <w:rPr>
          <w:rFonts w:ascii="黑体" w:eastAsia="黑体" w:hAnsi="黑体" w:hint="eastAsia"/>
          <w:b/>
          <w:sz w:val="36"/>
          <w:szCs w:val="36"/>
        </w:rPr>
      </w:pPr>
    </w:p>
    <w:p w14:paraId="359E759F" w14:textId="77777777" w:rsidR="00D56E03" w:rsidRPr="00343FDF" w:rsidRDefault="00000000">
      <w:pPr>
        <w:widowControl/>
        <w:shd w:val="clear" w:color="auto" w:fill="FFFFFF"/>
        <w:spacing w:afterLines="100" w:after="312" w:line="440" w:lineRule="exact"/>
        <w:jc w:val="center"/>
        <w:rPr>
          <w:rFonts w:ascii="黑体" w:eastAsia="黑体" w:hAnsi="黑体" w:hint="eastAsia"/>
          <w:b/>
          <w:sz w:val="32"/>
          <w:szCs w:val="44"/>
        </w:rPr>
      </w:pPr>
      <w:r w:rsidRPr="00343FDF">
        <w:rPr>
          <w:rFonts w:ascii="黑体" w:eastAsia="黑体" w:hAnsi="黑体" w:hint="eastAsia"/>
          <w:b/>
          <w:sz w:val="36"/>
          <w:szCs w:val="36"/>
        </w:rPr>
        <w:t>编制说明（征求意见稿）</w:t>
      </w:r>
    </w:p>
    <w:p w14:paraId="1B1329CF" w14:textId="77777777" w:rsidR="00D56E03" w:rsidRPr="00343FDF" w:rsidRDefault="00D56E03">
      <w:pPr>
        <w:widowControl/>
        <w:shd w:val="clear" w:color="auto" w:fill="FFFFFF"/>
        <w:spacing w:afterLines="100" w:after="312" w:line="440" w:lineRule="exact"/>
        <w:jc w:val="center"/>
        <w:rPr>
          <w:rFonts w:ascii="黑体" w:eastAsia="黑体" w:hAnsi="黑体" w:hint="eastAsia"/>
          <w:b/>
          <w:sz w:val="32"/>
          <w:szCs w:val="44"/>
        </w:rPr>
      </w:pPr>
    </w:p>
    <w:p w14:paraId="4937A3E5" w14:textId="77777777" w:rsidR="00D56E03" w:rsidRPr="00343FDF" w:rsidRDefault="00D56E03">
      <w:pPr>
        <w:widowControl/>
        <w:shd w:val="clear" w:color="auto" w:fill="FFFFFF"/>
        <w:spacing w:afterLines="100" w:after="312" w:line="440" w:lineRule="exact"/>
        <w:jc w:val="center"/>
        <w:rPr>
          <w:rFonts w:ascii="黑体" w:eastAsia="黑体" w:hAnsi="黑体" w:hint="eastAsia"/>
          <w:b/>
          <w:sz w:val="32"/>
          <w:szCs w:val="44"/>
        </w:rPr>
      </w:pPr>
    </w:p>
    <w:p w14:paraId="76975CC8" w14:textId="77777777" w:rsidR="00D56E03" w:rsidRPr="00343FDF" w:rsidRDefault="00D56E03">
      <w:pPr>
        <w:widowControl/>
        <w:shd w:val="clear" w:color="auto" w:fill="FFFFFF"/>
        <w:spacing w:afterLines="100" w:after="312" w:line="440" w:lineRule="exact"/>
        <w:jc w:val="center"/>
        <w:rPr>
          <w:rFonts w:ascii="黑体" w:eastAsia="黑体" w:hAnsi="黑体" w:hint="eastAsia"/>
          <w:b/>
          <w:sz w:val="32"/>
          <w:szCs w:val="44"/>
        </w:rPr>
      </w:pPr>
    </w:p>
    <w:p w14:paraId="27CF67A2" w14:textId="77777777" w:rsidR="00D56E03" w:rsidRPr="00343FDF" w:rsidRDefault="00D56E03">
      <w:pPr>
        <w:widowControl/>
        <w:shd w:val="clear" w:color="auto" w:fill="FFFFFF"/>
        <w:spacing w:afterLines="100" w:after="312" w:line="440" w:lineRule="exact"/>
        <w:jc w:val="center"/>
        <w:rPr>
          <w:rFonts w:ascii="黑体" w:eastAsia="黑体" w:hAnsi="黑体" w:hint="eastAsia"/>
          <w:b/>
          <w:sz w:val="32"/>
          <w:szCs w:val="44"/>
        </w:rPr>
      </w:pPr>
    </w:p>
    <w:p w14:paraId="5AC778CF" w14:textId="77777777" w:rsidR="00D56E03" w:rsidRPr="00343FDF" w:rsidRDefault="00D56E03">
      <w:pPr>
        <w:widowControl/>
        <w:shd w:val="clear" w:color="auto" w:fill="FFFFFF"/>
        <w:spacing w:afterLines="100" w:after="312" w:line="440" w:lineRule="exact"/>
        <w:jc w:val="center"/>
        <w:rPr>
          <w:rFonts w:ascii="黑体" w:eastAsia="黑体" w:hAnsi="黑体" w:hint="eastAsia"/>
          <w:b/>
          <w:sz w:val="32"/>
          <w:szCs w:val="44"/>
        </w:rPr>
      </w:pPr>
    </w:p>
    <w:p w14:paraId="31727790" w14:textId="77777777" w:rsidR="00D56E03" w:rsidRPr="00343FDF" w:rsidRDefault="00D56E03">
      <w:pPr>
        <w:widowControl/>
        <w:shd w:val="clear" w:color="auto" w:fill="FFFFFF"/>
        <w:spacing w:afterLines="100" w:after="312" w:line="440" w:lineRule="exact"/>
        <w:jc w:val="center"/>
        <w:rPr>
          <w:rFonts w:ascii="黑体" w:eastAsia="黑体" w:hAnsi="黑体" w:hint="eastAsia"/>
          <w:b/>
          <w:sz w:val="32"/>
          <w:szCs w:val="44"/>
        </w:rPr>
      </w:pPr>
    </w:p>
    <w:p w14:paraId="0F61AB67" w14:textId="77777777" w:rsidR="00D56E03" w:rsidRPr="00343FDF" w:rsidRDefault="00000000">
      <w:pPr>
        <w:spacing w:line="360" w:lineRule="auto"/>
        <w:ind w:firstLineChars="189" w:firstLine="567"/>
        <w:jc w:val="center"/>
        <w:rPr>
          <w:rFonts w:ascii="黑体" w:eastAsia="黑体" w:hAnsi="黑体" w:hint="eastAsia"/>
          <w:sz w:val="30"/>
          <w:szCs w:val="30"/>
        </w:rPr>
      </w:pPr>
      <w:r w:rsidRPr="00343FDF">
        <w:rPr>
          <w:rFonts w:ascii="黑体" w:eastAsia="黑体" w:hAnsi="黑体" w:hint="eastAsia"/>
          <w:sz w:val="30"/>
          <w:szCs w:val="30"/>
        </w:rPr>
        <w:t>陕西省环境科学研究院</w:t>
      </w:r>
    </w:p>
    <w:p w14:paraId="30F94AF6" w14:textId="77777777" w:rsidR="00D56E03" w:rsidRPr="00343FDF" w:rsidRDefault="00000000">
      <w:pPr>
        <w:spacing w:line="360" w:lineRule="auto"/>
        <w:ind w:firstLineChars="189" w:firstLine="567"/>
        <w:jc w:val="center"/>
        <w:rPr>
          <w:rFonts w:ascii="黑体" w:eastAsia="黑体" w:hAnsi="黑体" w:hint="eastAsia"/>
          <w:sz w:val="30"/>
          <w:szCs w:val="30"/>
        </w:rPr>
      </w:pPr>
      <w:r w:rsidRPr="00343FDF">
        <w:rPr>
          <w:rFonts w:ascii="黑体" w:eastAsia="黑体" w:hAnsi="黑体" w:hint="eastAsia"/>
          <w:sz w:val="30"/>
          <w:szCs w:val="30"/>
        </w:rPr>
        <w:t>生态环境部环境规划院</w:t>
      </w:r>
    </w:p>
    <w:p w14:paraId="66BD9036" w14:textId="77777777" w:rsidR="00D56E03" w:rsidRPr="00343FDF" w:rsidRDefault="00000000">
      <w:pPr>
        <w:spacing w:line="360" w:lineRule="auto"/>
        <w:ind w:firstLineChars="189" w:firstLine="567"/>
        <w:jc w:val="center"/>
        <w:rPr>
          <w:rFonts w:ascii="黑体" w:eastAsia="黑体" w:hAnsi="黑体" w:hint="eastAsia"/>
          <w:sz w:val="30"/>
          <w:szCs w:val="30"/>
        </w:rPr>
      </w:pPr>
      <w:r w:rsidRPr="00343FDF">
        <w:rPr>
          <w:rFonts w:ascii="黑体" w:eastAsia="黑体" w:hAnsi="黑体" w:hint="eastAsia"/>
          <w:sz w:val="30"/>
          <w:szCs w:val="30"/>
        </w:rPr>
        <w:t>中国地质调查局西安地质调查中心</w:t>
      </w:r>
    </w:p>
    <w:p w14:paraId="11526773" w14:textId="77777777" w:rsidR="00D56E03" w:rsidRPr="00343FDF" w:rsidRDefault="00000000">
      <w:pPr>
        <w:widowControl/>
        <w:shd w:val="clear" w:color="auto" w:fill="FFFFFF"/>
        <w:spacing w:afterLines="100" w:after="312" w:line="440" w:lineRule="exact"/>
        <w:jc w:val="center"/>
        <w:rPr>
          <w:rFonts w:ascii="黑体" w:eastAsia="黑体" w:hAnsi="黑体" w:hint="eastAsia"/>
          <w:sz w:val="30"/>
          <w:szCs w:val="30"/>
        </w:rPr>
        <w:sectPr w:rsidR="00D56E03" w:rsidRPr="00343FDF">
          <w:footerReference w:type="default" r:id="rId9"/>
          <w:pgSz w:w="11906" w:h="16838"/>
          <w:pgMar w:top="1440" w:right="1800" w:bottom="1440" w:left="1800" w:header="851" w:footer="992" w:gutter="0"/>
          <w:pgNumType w:fmt="upperRoman" w:start="1"/>
          <w:cols w:space="425"/>
          <w:docGrid w:type="lines" w:linePitch="312"/>
        </w:sectPr>
      </w:pPr>
      <w:r w:rsidRPr="00343FDF">
        <w:rPr>
          <w:rFonts w:ascii="黑体" w:eastAsia="黑体" w:hAnsi="黑体" w:hint="eastAsia"/>
          <w:sz w:val="30"/>
          <w:szCs w:val="30"/>
        </w:rPr>
        <w:t>2</w:t>
      </w:r>
      <w:r w:rsidRPr="00343FDF">
        <w:rPr>
          <w:rFonts w:ascii="黑体" w:eastAsia="黑体" w:hAnsi="黑体"/>
          <w:sz w:val="30"/>
          <w:szCs w:val="30"/>
        </w:rPr>
        <w:t>02</w:t>
      </w:r>
      <w:r w:rsidRPr="00343FDF">
        <w:rPr>
          <w:rFonts w:ascii="黑体" w:eastAsia="黑体" w:hAnsi="黑体" w:hint="eastAsia"/>
          <w:sz w:val="30"/>
          <w:szCs w:val="30"/>
        </w:rPr>
        <w:t>5年4月</w:t>
      </w:r>
    </w:p>
    <w:p w14:paraId="2157559C" w14:textId="77777777" w:rsidR="00D56E03" w:rsidRPr="00343FDF" w:rsidRDefault="00D56E03">
      <w:pPr>
        <w:widowControl/>
        <w:shd w:val="clear" w:color="auto" w:fill="FFFFFF"/>
        <w:spacing w:afterLines="100" w:after="312" w:line="440" w:lineRule="exact"/>
        <w:rPr>
          <w:rFonts w:ascii="黑体" w:eastAsia="黑体" w:hAnsi="黑体" w:hint="eastAsia"/>
          <w:sz w:val="30"/>
          <w:szCs w:val="30"/>
        </w:rPr>
      </w:pPr>
    </w:p>
    <w:sdt>
      <w:sdtPr>
        <w:rPr>
          <w:rFonts w:ascii="黑体" w:eastAsia="黑体" w:hAnsi="黑体" w:cs="黑体" w:hint="eastAsia"/>
          <w:sz w:val="30"/>
          <w:szCs w:val="30"/>
          <w:lang w:val="zh-CN"/>
        </w:rPr>
        <w:id w:val="1174616646"/>
        <w:docPartObj>
          <w:docPartGallery w:val="Table of Contents"/>
          <w:docPartUnique/>
        </w:docPartObj>
      </w:sdtPr>
      <w:sdtEndPr>
        <w:rPr>
          <w:b/>
          <w:bCs/>
          <w:sz w:val="28"/>
          <w:szCs w:val="32"/>
        </w:rPr>
      </w:sdtEndPr>
      <w:sdtContent>
        <w:p w14:paraId="2E7C094E" w14:textId="77777777" w:rsidR="00D56E03" w:rsidRPr="00343FDF" w:rsidRDefault="00000000">
          <w:pPr>
            <w:jc w:val="center"/>
            <w:rPr>
              <w:rFonts w:ascii="黑体" w:eastAsia="黑体" w:hAnsi="黑体" w:cs="黑体" w:hint="eastAsia"/>
              <w:sz w:val="30"/>
              <w:szCs w:val="30"/>
            </w:rPr>
          </w:pPr>
          <w:r w:rsidRPr="00343FDF">
            <w:rPr>
              <w:rFonts w:ascii="黑体" w:eastAsia="黑体" w:hAnsi="黑体" w:cs="黑体" w:hint="eastAsia"/>
              <w:sz w:val="30"/>
              <w:szCs w:val="30"/>
            </w:rPr>
            <w:t>目录</w:t>
          </w:r>
        </w:p>
        <w:p w14:paraId="677DC1B0" w14:textId="32242F5E" w:rsidR="00D56E03" w:rsidRPr="00343FDF" w:rsidRDefault="00000000">
          <w:pPr>
            <w:pStyle w:val="TOC1"/>
            <w:tabs>
              <w:tab w:val="clear" w:pos="9060"/>
              <w:tab w:val="right" w:leader="dot" w:pos="8306"/>
            </w:tabs>
            <w:rPr>
              <w:rFonts w:hint="eastAsia"/>
              <w:color w:val="auto"/>
            </w:rPr>
          </w:pPr>
          <w:r w:rsidRPr="00343FDF">
            <w:rPr>
              <w:rFonts w:ascii="黑体" w:eastAsia="黑体" w:hAnsi="黑体" w:cs="黑体" w:hint="eastAsia"/>
              <w:color w:val="auto"/>
            </w:rPr>
            <w:fldChar w:fldCharType="begin"/>
          </w:r>
          <w:r w:rsidRPr="00343FDF">
            <w:rPr>
              <w:rFonts w:ascii="黑体" w:eastAsia="黑体" w:hAnsi="黑体" w:cs="黑体" w:hint="eastAsia"/>
              <w:color w:val="auto"/>
            </w:rPr>
            <w:instrText xml:space="preserve"> TOC \o "1-3" \h \z \u </w:instrText>
          </w:r>
          <w:r w:rsidRPr="00343FDF">
            <w:rPr>
              <w:rFonts w:ascii="黑体" w:eastAsia="黑体" w:hAnsi="黑体" w:cs="黑体" w:hint="eastAsia"/>
              <w:color w:val="auto"/>
            </w:rPr>
            <w:fldChar w:fldCharType="separate"/>
          </w:r>
          <w:hyperlink w:anchor="_Toc21717" w:history="1">
            <w:r w:rsidRPr="00343FDF">
              <w:rPr>
                <w:rFonts w:ascii="黑体" w:eastAsia="黑体" w:hAnsi="黑体" w:hint="eastAsia"/>
                <w:color w:val="auto"/>
                <w:szCs w:val="32"/>
              </w:rPr>
              <w:t>1、工作简况</w:t>
            </w:r>
            <w:r w:rsidRPr="00343FDF">
              <w:rPr>
                <w:color w:val="auto"/>
              </w:rPr>
              <w:tab/>
            </w:r>
            <w:r w:rsidRPr="00343FDF">
              <w:rPr>
                <w:color w:val="auto"/>
              </w:rPr>
              <w:fldChar w:fldCharType="begin"/>
            </w:r>
            <w:r w:rsidRPr="00343FDF">
              <w:rPr>
                <w:color w:val="auto"/>
              </w:rPr>
              <w:instrText xml:space="preserve"> PAGEREF _Toc21717 </w:instrText>
            </w:r>
            <w:r w:rsidRPr="00343FDF">
              <w:rPr>
                <w:color w:val="auto"/>
              </w:rPr>
              <w:fldChar w:fldCharType="separate"/>
            </w:r>
            <w:r w:rsidR="007110BB">
              <w:rPr>
                <w:rFonts w:hint="eastAsia"/>
                <w:noProof/>
                <w:color w:val="auto"/>
              </w:rPr>
              <w:t>1</w:t>
            </w:r>
            <w:r w:rsidRPr="00343FDF">
              <w:rPr>
                <w:color w:val="auto"/>
              </w:rPr>
              <w:fldChar w:fldCharType="end"/>
            </w:r>
          </w:hyperlink>
        </w:p>
        <w:p w14:paraId="5E7C5A4C" w14:textId="6D98DB04" w:rsidR="00D56E03" w:rsidRPr="00343FDF" w:rsidRDefault="00000000">
          <w:pPr>
            <w:pStyle w:val="TOC2"/>
            <w:tabs>
              <w:tab w:val="right" w:leader="dot" w:pos="8306"/>
            </w:tabs>
          </w:pPr>
          <w:hyperlink w:anchor="_Toc30425" w:history="1">
            <w:r w:rsidRPr="00343FDF">
              <w:rPr>
                <w:rFonts w:ascii="华文楷体" w:eastAsia="华文楷体" w:hAnsi="华文楷体" w:hint="eastAsia"/>
                <w:szCs w:val="30"/>
              </w:rPr>
              <w:t>1.1任务来源</w:t>
            </w:r>
            <w:r w:rsidRPr="00343FDF">
              <w:tab/>
            </w:r>
            <w:fldSimple w:instr=" PAGEREF _Toc30425 ">
              <w:r w:rsidR="007110BB">
                <w:rPr>
                  <w:noProof/>
                </w:rPr>
                <w:t>1</w:t>
              </w:r>
            </w:fldSimple>
          </w:hyperlink>
        </w:p>
        <w:p w14:paraId="63A0FBE2" w14:textId="3BFBCF55" w:rsidR="00D56E03" w:rsidRPr="00343FDF" w:rsidRDefault="00000000">
          <w:pPr>
            <w:pStyle w:val="TOC2"/>
            <w:tabs>
              <w:tab w:val="right" w:leader="dot" w:pos="8306"/>
            </w:tabs>
          </w:pPr>
          <w:hyperlink w:anchor="_Toc9536" w:history="1">
            <w:r w:rsidRPr="00343FDF">
              <w:rPr>
                <w:rFonts w:ascii="华文楷体" w:eastAsia="华文楷体" w:hAnsi="华文楷体" w:hint="eastAsia"/>
                <w:szCs w:val="30"/>
              </w:rPr>
              <w:t>1.2制定背景</w:t>
            </w:r>
            <w:r w:rsidRPr="00343FDF">
              <w:tab/>
            </w:r>
            <w:fldSimple w:instr=" PAGEREF _Toc9536 ">
              <w:r w:rsidR="007110BB">
                <w:rPr>
                  <w:noProof/>
                </w:rPr>
                <w:t>1</w:t>
              </w:r>
            </w:fldSimple>
          </w:hyperlink>
        </w:p>
        <w:p w14:paraId="31EC0AFB" w14:textId="311B0B33" w:rsidR="00D56E03" w:rsidRPr="00343FDF" w:rsidRDefault="00000000">
          <w:pPr>
            <w:pStyle w:val="TOC3"/>
            <w:tabs>
              <w:tab w:val="right" w:leader="dot" w:pos="8306"/>
            </w:tabs>
          </w:pPr>
          <w:hyperlink w:anchor="_Toc23459" w:history="1">
            <w:r w:rsidRPr="00343FDF">
              <w:rPr>
                <w:rFonts w:ascii="华文楷体" w:eastAsia="华文楷体" w:hAnsi="华文楷体" w:hint="eastAsia"/>
                <w:szCs w:val="30"/>
              </w:rPr>
              <w:t>（1）生态环境问题及整治的迫切性</w:t>
            </w:r>
            <w:r w:rsidRPr="00343FDF">
              <w:tab/>
            </w:r>
            <w:fldSimple w:instr=" PAGEREF _Toc23459 ">
              <w:r w:rsidR="007110BB">
                <w:rPr>
                  <w:noProof/>
                </w:rPr>
                <w:t>1</w:t>
              </w:r>
            </w:fldSimple>
          </w:hyperlink>
        </w:p>
        <w:p w14:paraId="476E1F04" w14:textId="3311D98F" w:rsidR="00D56E03" w:rsidRPr="00343FDF" w:rsidRDefault="00000000">
          <w:pPr>
            <w:pStyle w:val="TOC3"/>
            <w:tabs>
              <w:tab w:val="right" w:leader="dot" w:pos="8306"/>
            </w:tabs>
          </w:pPr>
          <w:hyperlink w:anchor="_Toc14052" w:history="1">
            <w:r w:rsidRPr="00343FDF">
              <w:rPr>
                <w:rFonts w:ascii="华文楷体" w:eastAsia="华文楷体" w:hAnsi="华文楷体" w:hint="eastAsia"/>
                <w:szCs w:val="30"/>
              </w:rPr>
              <w:t>（2）“十四五”相关政策分析</w:t>
            </w:r>
            <w:r w:rsidRPr="00343FDF">
              <w:tab/>
            </w:r>
            <w:fldSimple w:instr=" PAGEREF _Toc14052 ">
              <w:r w:rsidR="007110BB">
                <w:rPr>
                  <w:noProof/>
                </w:rPr>
                <w:t>4</w:t>
              </w:r>
            </w:fldSimple>
          </w:hyperlink>
        </w:p>
        <w:p w14:paraId="66A8C281" w14:textId="39644E70" w:rsidR="00D56E03" w:rsidRPr="00343FDF" w:rsidRDefault="00000000">
          <w:pPr>
            <w:pStyle w:val="TOC2"/>
            <w:tabs>
              <w:tab w:val="right" w:leader="dot" w:pos="8306"/>
            </w:tabs>
          </w:pPr>
          <w:hyperlink w:anchor="_Toc8274" w:history="1">
            <w:r w:rsidRPr="00343FDF">
              <w:rPr>
                <w:rFonts w:ascii="华文楷体" w:eastAsia="华文楷体" w:hAnsi="华文楷体" w:hint="eastAsia"/>
                <w:szCs w:val="30"/>
              </w:rPr>
              <w:t>1.3目的和意义</w:t>
            </w:r>
            <w:r w:rsidRPr="00343FDF">
              <w:tab/>
            </w:r>
            <w:fldSimple w:instr=" PAGEREF _Toc8274 ">
              <w:r w:rsidR="007110BB">
                <w:rPr>
                  <w:noProof/>
                </w:rPr>
                <w:t>4</w:t>
              </w:r>
            </w:fldSimple>
          </w:hyperlink>
        </w:p>
        <w:p w14:paraId="733AB7D6" w14:textId="271209B4" w:rsidR="00D56E03" w:rsidRPr="00343FDF" w:rsidRDefault="00000000">
          <w:pPr>
            <w:pStyle w:val="TOC2"/>
            <w:tabs>
              <w:tab w:val="right" w:leader="dot" w:pos="8306"/>
            </w:tabs>
          </w:pPr>
          <w:hyperlink w:anchor="_Toc20264" w:history="1">
            <w:r w:rsidRPr="00343FDF">
              <w:rPr>
                <w:rFonts w:ascii="华文楷体" w:eastAsia="华文楷体" w:hAnsi="华文楷体" w:hint="eastAsia"/>
                <w:szCs w:val="30"/>
              </w:rPr>
              <w:t>1.4标准编制过程</w:t>
            </w:r>
            <w:r w:rsidRPr="00343FDF">
              <w:tab/>
            </w:r>
            <w:fldSimple w:instr=" PAGEREF _Toc20264 ">
              <w:r w:rsidR="007110BB">
                <w:rPr>
                  <w:noProof/>
                </w:rPr>
                <w:t>6</w:t>
              </w:r>
            </w:fldSimple>
          </w:hyperlink>
        </w:p>
        <w:p w14:paraId="2EAB78F1" w14:textId="1503F440" w:rsidR="00D56E03" w:rsidRPr="00343FDF" w:rsidRDefault="00000000">
          <w:pPr>
            <w:pStyle w:val="TOC2"/>
            <w:tabs>
              <w:tab w:val="right" w:leader="dot" w:pos="8306"/>
            </w:tabs>
          </w:pPr>
          <w:hyperlink w:anchor="_Toc11057" w:history="1">
            <w:r w:rsidRPr="00343FDF">
              <w:rPr>
                <w:rFonts w:ascii="华文楷体" w:eastAsia="华文楷体" w:hAnsi="华文楷体" w:hint="eastAsia"/>
                <w:szCs w:val="30"/>
              </w:rPr>
              <w:t>1.5标准编制单位及主要起草人</w:t>
            </w:r>
            <w:r w:rsidRPr="00343FDF">
              <w:tab/>
            </w:r>
            <w:fldSimple w:instr=" PAGEREF _Toc11057 ">
              <w:r w:rsidR="007110BB">
                <w:rPr>
                  <w:noProof/>
                </w:rPr>
                <w:t>7</w:t>
              </w:r>
            </w:fldSimple>
          </w:hyperlink>
        </w:p>
        <w:p w14:paraId="034B741F" w14:textId="37DB2E7C" w:rsidR="00D56E03" w:rsidRPr="00343FDF" w:rsidRDefault="00000000">
          <w:pPr>
            <w:pStyle w:val="TOC1"/>
            <w:tabs>
              <w:tab w:val="clear" w:pos="9060"/>
              <w:tab w:val="right" w:leader="dot" w:pos="8306"/>
            </w:tabs>
            <w:rPr>
              <w:rFonts w:hint="eastAsia"/>
              <w:color w:val="auto"/>
            </w:rPr>
          </w:pPr>
          <w:hyperlink w:anchor="_Toc8103" w:history="1">
            <w:r w:rsidRPr="00343FDF">
              <w:rPr>
                <w:rFonts w:ascii="黑体" w:eastAsia="黑体" w:hAnsi="黑体" w:hint="eastAsia"/>
                <w:color w:val="auto"/>
                <w:szCs w:val="32"/>
              </w:rPr>
              <w:t>2、相关国际或国内标准的制定现状</w:t>
            </w:r>
            <w:r w:rsidRPr="00343FDF">
              <w:rPr>
                <w:color w:val="auto"/>
              </w:rPr>
              <w:tab/>
            </w:r>
            <w:r w:rsidRPr="00343FDF">
              <w:rPr>
                <w:color w:val="auto"/>
              </w:rPr>
              <w:fldChar w:fldCharType="begin"/>
            </w:r>
            <w:r w:rsidRPr="00343FDF">
              <w:rPr>
                <w:color w:val="auto"/>
              </w:rPr>
              <w:instrText xml:space="preserve"> PAGEREF _Toc8103 </w:instrText>
            </w:r>
            <w:r w:rsidRPr="00343FDF">
              <w:rPr>
                <w:color w:val="auto"/>
              </w:rPr>
              <w:fldChar w:fldCharType="separate"/>
            </w:r>
            <w:r w:rsidR="007110BB">
              <w:rPr>
                <w:rFonts w:hint="eastAsia"/>
                <w:noProof/>
                <w:color w:val="auto"/>
              </w:rPr>
              <w:t>8</w:t>
            </w:r>
            <w:r w:rsidRPr="00343FDF">
              <w:rPr>
                <w:color w:val="auto"/>
              </w:rPr>
              <w:fldChar w:fldCharType="end"/>
            </w:r>
          </w:hyperlink>
        </w:p>
        <w:p w14:paraId="00B27014" w14:textId="1E00A9E1" w:rsidR="00D56E03" w:rsidRPr="00343FDF" w:rsidRDefault="00000000">
          <w:pPr>
            <w:pStyle w:val="TOC1"/>
            <w:tabs>
              <w:tab w:val="clear" w:pos="9060"/>
              <w:tab w:val="right" w:leader="dot" w:pos="8306"/>
            </w:tabs>
            <w:rPr>
              <w:rFonts w:hint="eastAsia"/>
              <w:color w:val="auto"/>
            </w:rPr>
          </w:pPr>
          <w:hyperlink w:anchor="_Toc8708" w:history="1">
            <w:r w:rsidRPr="00343FDF">
              <w:rPr>
                <w:rFonts w:ascii="黑体" w:eastAsia="黑体" w:hAnsi="黑体" w:hint="eastAsia"/>
                <w:color w:val="auto"/>
                <w:szCs w:val="32"/>
              </w:rPr>
              <w:t>3、主要内容</w:t>
            </w:r>
            <w:r w:rsidRPr="00343FDF">
              <w:rPr>
                <w:color w:val="auto"/>
              </w:rPr>
              <w:tab/>
            </w:r>
            <w:r w:rsidRPr="00343FDF">
              <w:rPr>
                <w:color w:val="auto"/>
              </w:rPr>
              <w:fldChar w:fldCharType="begin"/>
            </w:r>
            <w:r w:rsidRPr="00343FDF">
              <w:rPr>
                <w:color w:val="auto"/>
              </w:rPr>
              <w:instrText xml:space="preserve"> PAGEREF _Toc8708 </w:instrText>
            </w:r>
            <w:r w:rsidRPr="00343FDF">
              <w:rPr>
                <w:color w:val="auto"/>
              </w:rPr>
              <w:fldChar w:fldCharType="separate"/>
            </w:r>
            <w:r w:rsidR="007110BB">
              <w:rPr>
                <w:rFonts w:hint="eastAsia"/>
                <w:noProof/>
                <w:color w:val="auto"/>
              </w:rPr>
              <w:t>12</w:t>
            </w:r>
            <w:r w:rsidRPr="00343FDF">
              <w:rPr>
                <w:color w:val="auto"/>
              </w:rPr>
              <w:fldChar w:fldCharType="end"/>
            </w:r>
          </w:hyperlink>
        </w:p>
        <w:p w14:paraId="58826630" w14:textId="058FEC71" w:rsidR="00D56E03" w:rsidRPr="00343FDF" w:rsidRDefault="00000000">
          <w:pPr>
            <w:pStyle w:val="TOC2"/>
            <w:tabs>
              <w:tab w:val="right" w:leader="dot" w:pos="8306"/>
            </w:tabs>
          </w:pPr>
          <w:hyperlink w:anchor="_Toc20314" w:history="1">
            <w:r w:rsidRPr="00343FDF">
              <w:rPr>
                <w:rFonts w:ascii="华文楷体" w:eastAsia="华文楷体" w:hAnsi="华文楷体" w:hint="eastAsia"/>
                <w:szCs w:val="30"/>
              </w:rPr>
              <w:t>3.1适用范围</w:t>
            </w:r>
            <w:r w:rsidRPr="00343FDF">
              <w:tab/>
            </w:r>
            <w:fldSimple w:instr=" PAGEREF _Toc20314 ">
              <w:r w:rsidR="007110BB">
                <w:rPr>
                  <w:noProof/>
                </w:rPr>
                <w:t>12</w:t>
              </w:r>
            </w:fldSimple>
          </w:hyperlink>
        </w:p>
        <w:p w14:paraId="1D9735BF" w14:textId="10C254F9" w:rsidR="00D56E03" w:rsidRPr="00343FDF" w:rsidRDefault="00000000">
          <w:pPr>
            <w:pStyle w:val="TOC2"/>
            <w:tabs>
              <w:tab w:val="right" w:leader="dot" w:pos="8306"/>
            </w:tabs>
          </w:pPr>
          <w:hyperlink w:anchor="_Toc28419" w:history="1">
            <w:r w:rsidRPr="00343FDF">
              <w:rPr>
                <w:rFonts w:ascii="华文楷体" w:eastAsia="华文楷体" w:hAnsi="华文楷体" w:hint="eastAsia"/>
                <w:szCs w:val="30"/>
              </w:rPr>
              <w:t>3.2规范性引用文件</w:t>
            </w:r>
            <w:r w:rsidRPr="00343FDF">
              <w:tab/>
            </w:r>
            <w:fldSimple w:instr=" PAGEREF _Toc28419 ">
              <w:r w:rsidR="007110BB">
                <w:rPr>
                  <w:noProof/>
                </w:rPr>
                <w:t>12</w:t>
              </w:r>
            </w:fldSimple>
          </w:hyperlink>
        </w:p>
        <w:p w14:paraId="4CF59FDA" w14:textId="37039AE0" w:rsidR="00D56E03" w:rsidRPr="00343FDF" w:rsidRDefault="00000000">
          <w:pPr>
            <w:pStyle w:val="TOC2"/>
            <w:tabs>
              <w:tab w:val="right" w:leader="dot" w:pos="8306"/>
            </w:tabs>
          </w:pPr>
          <w:hyperlink w:anchor="_Toc2617" w:history="1">
            <w:r w:rsidRPr="00343FDF">
              <w:rPr>
                <w:rFonts w:ascii="华文楷体" w:eastAsia="华文楷体" w:hAnsi="华文楷体" w:hint="eastAsia"/>
                <w:szCs w:val="30"/>
              </w:rPr>
              <w:t>3.3术语和定义</w:t>
            </w:r>
            <w:r w:rsidRPr="00343FDF">
              <w:tab/>
            </w:r>
            <w:fldSimple w:instr=" PAGEREF _Toc2617 ">
              <w:r w:rsidR="007110BB">
                <w:rPr>
                  <w:noProof/>
                </w:rPr>
                <w:t>13</w:t>
              </w:r>
            </w:fldSimple>
          </w:hyperlink>
        </w:p>
        <w:p w14:paraId="06024245" w14:textId="1C96B878" w:rsidR="00D56E03" w:rsidRPr="00343FDF" w:rsidRDefault="00000000">
          <w:pPr>
            <w:pStyle w:val="TOC2"/>
            <w:tabs>
              <w:tab w:val="right" w:leader="dot" w:pos="8306"/>
            </w:tabs>
          </w:pPr>
          <w:hyperlink w:anchor="_Toc13941" w:history="1">
            <w:r w:rsidRPr="00343FDF">
              <w:rPr>
                <w:rFonts w:ascii="华文楷体" w:eastAsia="华文楷体" w:hAnsi="华文楷体" w:hint="eastAsia"/>
                <w:szCs w:val="30"/>
              </w:rPr>
              <w:t>3.4一般要求</w:t>
            </w:r>
            <w:r w:rsidRPr="00343FDF">
              <w:tab/>
            </w:r>
            <w:fldSimple w:instr=" PAGEREF _Toc13941 ">
              <w:r w:rsidR="007110BB">
                <w:rPr>
                  <w:noProof/>
                </w:rPr>
                <w:t>13</w:t>
              </w:r>
            </w:fldSimple>
          </w:hyperlink>
        </w:p>
        <w:p w14:paraId="1FB4FCE7" w14:textId="05BEF3CC" w:rsidR="00D56E03" w:rsidRPr="00343FDF" w:rsidRDefault="00000000">
          <w:pPr>
            <w:pStyle w:val="TOC2"/>
            <w:tabs>
              <w:tab w:val="right" w:leader="dot" w:pos="8306"/>
            </w:tabs>
          </w:pPr>
          <w:hyperlink w:anchor="_Toc13012" w:history="1">
            <w:r w:rsidRPr="00343FDF">
              <w:rPr>
                <w:rFonts w:ascii="华文楷体" w:eastAsia="华文楷体" w:hAnsi="华文楷体" w:hint="eastAsia"/>
                <w:szCs w:val="30"/>
              </w:rPr>
              <w:t>3.5资料收集</w:t>
            </w:r>
            <w:r w:rsidRPr="00343FDF">
              <w:tab/>
            </w:r>
            <w:fldSimple w:instr=" PAGEREF _Toc13012 ">
              <w:r w:rsidR="007110BB">
                <w:rPr>
                  <w:noProof/>
                </w:rPr>
                <w:t>14</w:t>
              </w:r>
            </w:fldSimple>
          </w:hyperlink>
        </w:p>
        <w:p w14:paraId="7D56E75B" w14:textId="30A959F0" w:rsidR="00D56E03" w:rsidRPr="00343FDF" w:rsidRDefault="00000000">
          <w:pPr>
            <w:pStyle w:val="TOC2"/>
            <w:tabs>
              <w:tab w:val="right" w:leader="dot" w:pos="8306"/>
            </w:tabs>
          </w:pPr>
          <w:hyperlink w:anchor="_Toc2671" w:history="1">
            <w:r w:rsidRPr="00343FDF">
              <w:rPr>
                <w:rFonts w:ascii="华文楷体" w:eastAsia="华文楷体" w:hAnsi="华文楷体" w:hint="eastAsia"/>
                <w:szCs w:val="30"/>
              </w:rPr>
              <w:t>3.6编制内容</w:t>
            </w:r>
            <w:r w:rsidRPr="00343FDF">
              <w:tab/>
            </w:r>
            <w:fldSimple w:instr=" PAGEREF _Toc2671 ">
              <w:r w:rsidR="007110BB">
                <w:rPr>
                  <w:noProof/>
                </w:rPr>
                <w:t>15</w:t>
              </w:r>
            </w:fldSimple>
          </w:hyperlink>
        </w:p>
        <w:p w14:paraId="09F68C2B" w14:textId="5E78A0D5" w:rsidR="00D56E03" w:rsidRPr="00343FDF" w:rsidRDefault="00000000">
          <w:pPr>
            <w:pStyle w:val="TOC1"/>
            <w:tabs>
              <w:tab w:val="clear" w:pos="9060"/>
              <w:tab w:val="right" w:leader="dot" w:pos="8306"/>
            </w:tabs>
            <w:rPr>
              <w:rFonts w:hint="eastAsia"/>
              <w:color w:val="auto"/>
            </w:rPr>
          </w:pPr>
          <w:hyperlink w:anchor="_Toc28750" w:history="1">
            <w:r w:rsidRPr="00343FDF">
              <w:rPr>
                <w:rFonts w:ascii="黑体" w:eastAsia="黑体" w:hAnsi="黑体" w:hint="eastAsia"/>
                <w:color w:val="auto"/>
                <w:szCs w:val="32"/>
              </w:rPr>
              <w:t>4、 重大分歧意见处理</w:t>
            </w:r>
            <w:r w:rsidRPr="00343FDF">
              <w:rPr>
                <w:color w:val="auto"/>
              </w:rPr>
              <w:tab/>
            </w:r>
            <w:r w:rsidRPr="00343FDF">
              <w:rPr>
                <w:color w:val="auto"/>
              </w:rPr>
              <w:fldChar w:fldCharType="begin"/>
            </w:r>
            <w:r w:rsidRPr="00343FDF">
              <w:rPr>
                <w:color w:val="auto"/>
              </w:rPr>
              <w:instrText xml:space="preserve"> PAGEREF _Toc28750 </w:instrText>
            </w:r>
            <w:r w:rsidRPr="00343FDF">
              <w:rPr>
                <w:color w:val="auto"/>
              </w:rPr>
              <w:fldChar w:fldCharType="separate"/>
            </w:r>
            <w:r w:rsidR="007110BB">
              <w:rPr>
                <w:rFonts w:hint="eastAsia"/>
                <w:noProof/>
                <w:color w:val="auto"/>
              </w:rPr>
              <w:t>25</w:t>
            </w:r>
            <w:r w:rsidRPr="00343FDF">
              <w:rPr>
                <w:color w:val="auto"/>
              </w:rPr>
              <w:fldChar w:fldCharType="end"/>
            </w:r>
          </w:hyperlink>
        </w:p>
        <w:p w14:paraId="526BF5B5" w14:textId="3D85C352" w:rsidR="00D56E03" w:rsidRPr="00343FDF" w:rsidRDefault="00000000">
          <w:pPr>
            <w:pStyle w:val="TOC1"/>
            <w:tabs>
              <w:tab w:val="clear" w:pos="9060"/>
              <w:tab w:val="right" w:leader="dot" w:pos="8306"/>
            </w:tabs>
            <w:rPr>
              <w:rFonts w:hint="eastAsia"/>
              <w:color w:val="auto"/>
            </w:rPr>
          </w:pPr>
          <w:hyperlink w:anchor="_Toc30121" w:history="1">
            <w:r w:rsidRPr="00343FDF">
              <w:rPr>
                <w:rFonts w:ascii="黑体" w:eastAsia="黑体" w:hAnsi="黑体" w:hint="eastAsia"/>
                <w:color w:val="auto"/>
                <w:szCs w:val="32"/>
              </w:rPr>
              <w:t>5、 涉及专利的有关说明</w:t>
            </w:r>
            <w:r w:rsidRPr="00343FDF">
              <w:rPr>
                <w:color w:val="auto"/>
              </w:rPr>
              <w:tab/>
            </w:r>
            <w:r w:rsidRPr="00343FDF">
              <w:rPr>
                <w:color w:val="auto"/>
              </w:rPr>
              <w:fldChar w:fldCharType="begin"/>
            </w:r>
            <w:r w:rsidRPr="00343FDF">
              <w:rPr>
                <w:color w:val="auto"/>
              </w:rPr>
              <w:instrText xml:space="preserve"> PAGEREF _Toc30121 </w:instrText>
            </w:r>
            <w:r w:rsidRPr="00343FDF">
              <w:rPr>
                <w:color w:val="auto"/>
              </w:rPr>
              <w:fldChar w:fldCharType="separate"/>
            </w:r>
            <w:r w:rsidR="007110BB">
              <w:rPr>
                <w:rFonts w:hint="eastAsia"/>
                <w:noProof/>
                <w:color w:val="auto"/>
              </w:rPr>
              <w:t>25</w:t>
            </w:r>
            <w:r w:rsidRPr="00343FDF">
              <w:rPr>
                <w:color w:val="auto"/>
              </w:rPr>
              <w:fldChar w:fldCharType="end"/>
            </w:r>
          </w:hyperlink>
        </w:p>
        <w:p w14:paraId="12BE016A" w14:textId="3C69EDA8" w:rsidR="00D56E03" w:rsidRPr="00343FDF" w:rsidRDefault="00000000">
          <w:pPr>
            <w:pStyle w:val="TOC1"/>
            <w:tabs>
              <w:tab w:val="clear" w:pos="9060"/>
              <w:tab w:val="right" w:leader="dot" w:pos="8306"/>
            </w:tabs>
            <w:rPr>
              <w:rFonts w:hint="eastAsia"/>
              <w:color w:val="auto"/>
            </w:rPr>
          </w:pPr>
          <w:hyperlink w:anchor="_Toc32224" w:history="1">
            <w:r w:rsidRPr="00343FDF">
              <w:rPr>
                <w:rFonts w:ascii="黑体" w:eastAsia="黑体" w:hAnsi="黑体" w:hint="eastAsia"/>
                <w:color w:val="auto"/>
                <w:szCs w:val="32"/>
              </w:rPr>
              <w:t>6、 实施标准的要求，以及组织措施、技术措施、过渡期和实施日期的建议等措施建议</w:t>
            </w:r>
            <w:r w:rsidRPr="00343FDF">
              <w:rPr>
                <w:color w:val="auto"/>
              </w:rPr>
              <w:tab/>
            </w:r>
            <w:r w:rsidRPr="00343FDF">
              <w:rPr>
                <w:color w:val="auto"/>
              </w:rPr>
              <w:fldChar w:fldCharType="begin"/>
            </w:r>
            <w:r w:rsidRPr="00343FDF">
              <w:rPr>
                <w:color w:val="auto"/>
              </w:rPr>
              <w:instrText xml:space="preserve"> PAGEREF _Toc32224 </w:instrText>
            </w:r>
            <w:r w:rsidRPr="00343FDF">
              <w:rPr>
                <w:color w:val="auto"/>
              </w:rPr>
              <w:fldChar w:fldCharType="separate"/>
            </w:r>
            <w:r w:rsidR="007110BB">
              <w:rPr>
                <w:rFonts w:hint="eastAsia"/>
                <w:noProof/>
                <w:color w:val="auto"/>
              </w:rPr>
              <w:t>25</w:t>
            </w:r>
            <w:r w:rsidRPr="00343FDF">
              <w:rPr>
                <w:color w:val="auto"/>
              </w:rPr>
              <w:fldChar w:fldCharType="end"/>
            </w:r>
          </w:hyperlink>
        </w:p>
        <w:p w14:paraId="1E48FF20" w14:textId="14BB6C07" w:rsidR="00D56E03" w:rsidRPr="00343FDF" w:rsidRDefault="00000000">
          <w:pPr>
            <w:pStyle w:val="TOC1"/>
            <w:tabs>
              <w:tab w:val="clear" w:pos="9060"/>
              <w:tab w:val="right" w:leader="dot" w:pos="8306"/>
            </w:tabs>
            <w:rPr>
              <w:rFonts w:hint="eastAsia"/>
              <w:color w:val="auto"/>
            </w:rPr>
          </w:pPr>
          <w:hyperlink w:anchor="_Toc30809" w:history="1">
            <w:r w:rsidRPr="00343FDF">
              <w:rPr>
                <w:rFonts w:ascii="黑体" w:eastAsia="黑体" w:hAnsi="黑体" w:hint="eastAsia"/>
                <w:color w:val="auto"/>
                <w:szCs w:val="32"/>
              </w:rPr>
              <w:t>7、 其他需要说明的事项</w:t>
            </w:r>
            <w:r w:rsidRPr="00343FDF">
              <w:rPr>
                <w:color w:val="auto"/>
              </w:rPr>
              <w:tab/>
            </w:r>
            <w:r w:rsidRPr="00343FDF">
              <w:rPr>
                <w:color w:val="auto"/>
              </w:rPr>
              <w:fldChar w:fldCharType="begin"/>
            </w:r>
            <w:r w:rsidRPr="00343FDF">
              <w:rPr>
                <w:color w:val="auto"/>
              </w:rPr>
              <w:instrText xml:space="preserve"> PAGEREF _Toc30809 </w:instrText>
            </w:r>
            <w:r w:rsidRPr="00343FDF">
              <w:rPr>
                <w:color w:val="auto"/>
              </w:rPr>
              <w:fldChar w:fldCharType="separate"/>
            </w:r>
            <w:r w:rsidR="007110BB">
              <w:rPr>
                <w:rFonts w:hint="eastAsia"/>
                <w:noProof/>
                <w:color w:val="auto"/>
              </w:rPr>
              <w:t>25</w:t>
            </w:r>
            <w:r w:rsidRPr="00343FDF">
              <w:rPr>
                <w:color w:val="auto"/>
              </w:rPr>
              <w:fldChar w:fldCharType="end"/>
            </w:r>
          </w:hyperlink>
        </w:p>
        <w:p w14:paraId="71702A44" w14:textId="77777777" w:rsidR="00D56E03" w:rsidRPr="00343FDF" w:rsidRDefault="00000000">
          <w:pPr>
            <w:spacing w:line="360" w:lineRule="auto"/>
          </w:pPr>
          <w:r w:rsidRPr="00343FDF">
            <w:rPr>
              <w:rFonts w:ascii="黑体" w:eastAsia="黑体" w:hAnsi="黑体" w:cs="黑体" w:hint="eastAsia"/>
              <w:bCs/>
              <w:szCs w:val="24"/>
              <w:lang w:val="zh-CN"/>
            </w:rPr>
            <w:fldChar w:fldCharType="end"/>
          </w:r>
        </w:p>
      </w:sdtContent>
    </w:sdt>
    <w:p w14:paraId="77126305" w14:textId="77777777" w:rsidR="00D56E03" w:rsidRPr="00343FDF" w:rsidRDefault="00D56E03">
      <w:pPr>
        <w:widowControl/>
        <w:shd w:val="clear" w:color="auto" w:fill="FFFFFF"/>
        <w:spacing w:afterLines="100" w:after="312" w:line="440" w:lineRule="exact"/>
        <w:jc w:val="center"/>
        <w:rPr>
          <w:rFonts w:ascii="黑体" w:eastAsia="黑体" w:hAnsi="黑体" w:hint="eastAsia"/>
          <w:b/>
          <w:sz w:val="32"/>
          <w:szCs w:val="44"/>
        </w:rPr>
        <w:sectPr w:rsidR="00D56E03" w:rsidRPr="00343FDF">
          <w:pgSz w:w="11906" w:h="16838"/>
          <w:pgMar w:top="1440" w:right="1800" w:bottom="1440" w:left="1800" w:header="851" w:footer="992" w:gutter="0"/>
          <w:pgNumType w:fmt="upperRoman" w:start="1"/>
          <w:cols w:space="425"/>
          <w:docGrid w:type="lines" w:linePitch="312"/>
        </w:sectPr>
      </w:pPr>
    </w:p>
    <w:p w14:paraId="176D9B73" w14:textId="77777777" w:rsidR="00D56E03" w:rsidRPr="00343FDF" w:rsidRDefault="00000000">
      <w:pPr>
        <w:pStyle w:val="1"/>
        <w:spacing w:line="240" w:lineRule="auto"/>
        <w:rPr>
          <w:rFonts w:ascii="黑体" w:eastAsia="黑体" w:hAnsi="黑体" w:hint="eastAsia"/>
          <w:sz w:val="32"/>
          <w:szCs w:val="32"/>
        </w:rPr>
      </w:pPr>
      <w:bookmarkStart w:id="0" w:name="_Toc21717"/>
      <w:r w:rsidRPr="00343FDF">
        <w:rPr>
          <w:rFonts w:ascii="黑体" w:eastAsia="黑体" w:hAnsi="黑体" w:hint="eastAsia"/>
          <w:sz w:val="32"/>
          <w:szCs w:val="32"/>
        </w:rPr>
        <w:lastRenderedPageBreak/>
        <w:t>1、工作简况</w:t>
      </w:r>
      <w:bookmarkEnd w:id="0"/>
    </w:p>
    <w:p w14:paraId="62F13C27"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1" w:name="_Toc30425"/>
      <w:r w:rsidRPr="00343FDF">
        <w:rPr>
          <w:rFonts w:ascii="华文楷体" w:eastAsia="华文楷体" w:hAnsi="华文楷体" w:hint="eastAsia"/>
          <w:sz w:val="30"/>
          <w:szCs w:val="30"/>
        </w:rPr>
        <w:t>1.1任务来源</w:t>
      </w:r>
      <w:bookmarkEnd w:id="1"/>
    </w:p>
    <w:p w14:paraId="5B9D98E8" w14:textId="77777777" w:rsidR="00D56E03" w:rsidRPr="00343FDF" w:rsidRDefault="00000000">
      <w:pPr>
        <w:spacing w:line="560" w:lineRule="exact"/>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2024年3月，陕西省环境科学研究院、中国地质调查局西安地质调查中心、生态环境部环境规划院、陕西省地质调查院等单位向陕西省生态环境保护标准化技术委员会联合</w:t>
      </w:r>
      <w:proofErr w:type="gramStart"/>
      <w:r w:rsidRPr="00343FDF">
        <w:rPr>
          <w:rFonts w:ascii="仿宋_GB2312" w:eastAsia="仿宋_GB2312" w:hAnsi="仿宋_GB2312" w:cs="仿宋_GB2312" w:hint="eastAsia"/>
          <w:sz w:val="30"/>
          <w:szCs w:val="30"/>
        </w:rPr>
        <w:t>上报了涉金属</w:t>
      </w:r>
      <w:proofErr w:type="gramEnd"/>
      <w:r w:rsidRPr="00343FDF">
        <w:rPr>
          <w:rFonts w:ascii="仿宋_GB2312" w:eastAsia="仿宋_GB2312" w:hAnsi="仿宋_GB2312" w:cs="仿宋_GB2312" w:hint="eastAsia"/>
          <w:sz w:val="30"/>
          <w:szCs w:val="30"/>
        </w:rPr>
        <w:t>矿山开发环境污染防治技术规范系列标准制定的申请，系列标准包含《涉重金属矿山环境污染防治技术指南》系列标准，包含第1部分：通则；第2部分：调查评价；第3部分：监测；第4部分：分区风险评估及防控；第5部分：历史遗留矿山治理可行性研究报告编制；第6部分：矿</w:t>
      </w:r>
      <w:proofErr w:type="gramStart"/>
      <w:r w:rsidRPr="00343FDF">
        <w:rPr>
          <w:rFonts w:ascii="仿宋_GB2312" w:eastAsia="仿宋_GB2312" w:hAnsi="仿宋_GB2312" w:cs="仿宋_GB2312" w:hint="eastAsia"/>
          <w:sz w:val="30"/>
          <w:szCs w:val="30"/>
        </w:rPr>
        <w:t>硐</w:t>
      </w:r>
      <w:proofErr w:type="gramEnd"/>
      <w:r w:rsidRPr="00343FDF">
        <w:rPr>
          <w:rFonts w:ascii="仿宋_GB2312" w:eastAsia="仿宋_GB2312" w:hAnsi="仿宋_GB2312" w:cs="仿宋_GB2312" w:hint="eastAsia"/>
          <w:sz w:val="30"/>
          <w:szCs w:val="30"/>
        </w:rPr>
        <w:t>勘查技术；第7部分：废弃矿</w:t>
      </w:r>
      <w:proofErr w:type="gramStart"/>
      <w:r w:rsidRPr="00343FDF">
        <w:rPr>
          <w:rFonts w:ascii="仿宋_GB2312" w:eastAsia="仿宋_GB2312" w:hAnsi="仿宋_GB2312" w:cs="仿宋_GB2312" w:hint="eastAsia"/>
          <w:sz w:val="30"/>
          <w:szCs w:val="30"/>
        </w:rPr>
        <w:t>硐</w:t>
      </w:r>
      <w:proofErr w:type="gramEnd"/>
      <w:r w:rsidRPr="00343FDF">
        <w:rPr>
          <w:rFonts w:ascii="仿宋_GB2312" w:eastAsia="仿宋_GB2312" w:hAnsi="仿宋_GB2312" w:cs="仿宋_GB2312" w:hint="eastAsia"/>
          <w:sz w:val="30"/>
          <w:szCs w:val="30"/>
        </w:rPr>
        <w:t>封堵技术。其中《涉重金属矿山环境污染防治技术指南 第5部分：历史遗留矿山治理可行性研究报告编制》由陕西省环境科学研究院牵头申请制定并提交了立项申请书和《通则》草案文件。2024年4月，陕西省市场监督管理局组织专家对申报材料进行了评审，专家组一致同意通过立项申请。2024年5月，陕西省市场监督管理局将本标准列入“2024年第一批地方标准制修订计划”，正式确定了《历史遗留矿山治理可行性研究报告编制》编制任务。本标准为首次制定，为推荐性标准。</w:t>
      </w:r>
    </w:p>
    <w:p w14:paraId="47FFD5F8"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2" w:name="_Toc9536"/>
      <w:r w:rsidRPr="00343FDF">
        <w:rPr>
          <w:rFonts w:ascii="华文楷体" w:eastAsia="华文楷体" w:hAnsi="华文楷体" w:hint="eastAsia"/>
          <w:sz w:val="30"/>
          <w:szCs w:val="30"/>
        </w:rPr>
        <w:t>1.2制定背景</w:t>
      </w:r>
      <w:bookmarkEnd w:id="2"/>
    </w:p>
    <w:p w14:paraId="3CC07531" w14:textId="77777777" w:rsidR="00D56E03" w:rsidRPr="00343FDF" w:rsidRDefault="00000000">
      <w:pPr>
        <w:pStyle w:val="3"/>
        <w:spacing w:before="120" w:after="120" w:line="240" w:lineRule="auto"/>
        <w:rPr>
          <w:rFonts w:ascii="华文楷体" w:eastAsia="华文楷体" w:hAnsi="华文楷体" w:hint="eastAsia"/>
          <w:sz w:val="30"/>
          <w:szCs w:val="30"/>
        </w:rPr>
      </w:pPr>
      <w:bookmarkStart w:id="3" w:name="_Toc23459"/>
      <w:r w:rsidRPr="00343FDF">
        <w:rPr>
          <w:rFonts w:ascii="华文楷体" w:eastAsia="华文楷体" w:hAnsi="华文楷体" w:hint="eastAsia"/>
          <w:sz w:val="30"/>
          <w:szCs w:val="30"/>
        </w:rPr>
        <w:t>（1）生态环境问题及整治的迫切性</w:t>
      </w:r>
      <w:bookmarkEnd w:id="3"/>
    </w:p>
    <w:p w14:paraId="3E5CBA6F" w14:textId="77777777" w:rsidR="00D56E03" w:rsidRPr="00343FDF" w:rsidRDefault="00000000">
      <w:pPr>
        <w:spacing w:line="560" w:lineRule="exact"/>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我国矿产资源开采和冶炼历史悠久，建国后采选</w:t>
      </w:r>
      <w:proofErr w:type="gramStart"/>
      <w:r w:rsidRPr="00343FDF">
        <w:rPr>
          <w:rFonts w:ascii="仿宋_GB2312" w:eastAsia="仿宋_GB2312" w:hAnsi="仿宋_GB2312" w:cs="仿宋_GB2312" w:hint="eastAsia"/>
          <w:sz w:val="30"/>
          <w:szCs w:val="30"/>
        </w:rPr>
        <w:t>冶行业</w:t>
      </w:r>
      <w:proofErr w:type="gramEnd"/>
      <w:r w:rsidRPr="00343FDF">
        <w:rPr>
          <w:rFonts w:ascii="仿宋_GB2312" w:eastAsia="仿宋_GB2312" w:hAnsi="仿宋_GB2312" w:cs="仿宋_GB2312" w:hint="eastAsia"/>
          <w:sz w:val="30"/>
          <w:szCs w:val="30"/>
        </w:rPr>
        <w:t>得到了快速发展，成为我国国民经济和社会发展中的重要行业。但是</w:t>
      </w:r>
      <w:r w:rsidRPr="00343FDF">
        <w:rPr>
          <w:rFonts w:ascii="仿宋_GB2312" w:eastAsia="仿宋_GB2312" w:hAnsi="仿宋_GB2312" w:cs="仿宋_GB2312" w:hint="eastAsia"/>
          <w:sz w:val="30"/>
          <w:szCs w:val="30"/>
        </w:rPr>
        <w:lastRenderedPageBreak/>
        <w:t>在长期的发展过程中由于不重视生态环境保护，矿山开发和采选活动造成了较为严重的环境污染和破坏问题，尤其是我国矿产资源分布较为集中的云南、四川、贵州、陕西、内蒙古等省区。“十二五”以来随着国务院发布的《重金属污染防治“十二五”规划》的实施，我国矿山开发和采选造成的生态环境污染得到了党和国家高度重视。十多年来在国家重金属污染防治专项资金、山水林田湖草综合整治专项资金、矿山保护保证金等相关资金和国家相关政策的大力推动下，我国矿山（包括历史遗留矿山）持续开展了重金属污染减排、土壤环境修复、生态环境修复等系列整治活动，取得了较好的阶段性成果，特别是在一些生态环境敏感区和脆弱区，矿山地质环境和生态环境得到了较好的改善和恢复。</w:t>
      </w:r>
    </w:p>
    <w:p w14:paraId="066901CE" w14:textId="77777777" w:rsidR="00D56E03" w:rsidRPr="00343FDF" w:rsidRDefault="00000000">
      <w:pPr>
        <w:spacing w:line="560" w:lineRule="exact"/>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但仍需清晰认识到，我国矿山生态环境污染破坏、地质环境灾害防治的范围大、任务重、技术要求高、资金投入大，由于受到认识不到位、技术不成熟、资金投入不足等现实条件的限制，我国矿山生态环境污染防治仍存在着较为突出的问题。“十三五”期间问题较为突出、引起社会广泛关注的包括秦岭生态环境破坏和污染、陕西安康白河县硫铁矿污染、青海木里煤田涉金属矿区生态环境污染与破坏等污染事件较为典型。2020年陕西白河硫铁矿污染事件引起了社会广泛关注，习近平总书记</w:t>
      </w:r>
      <w:proofErr w:type="gramStart"/>
      <w:r w:rsidRPr="00343FDF">
        <w:rPr>
          <w:rFonts w:ascii="仿宋_GB2312" w:eastAsia="仿宋_GB2312" w:hAnsi="仿宋_GB2312" w:cs="仿宋_GB2312" w:hint="eastAsia"/>
          <w:sz w:val="30"/>
          <w:szCs w:val="30"/>
        </w:rPr>
        <w:t>作出</w:t>
      </w:r>
      <w:proofErr w:type="gramEnd"/>
      <w:r w:rsidRPr="00343FDF">
        <w:rPr>
          <w:rFonts w:ascii="仿宋_GB2312" w:eastAsia="仿宋_GB2312" w:hAnsi="仿宋_GB2312" w:cs="仿宋_GB2312" w:hint="eastAsia"/>
          <w:sz w:val="30"/>
          <w:szCs w:val="30"/>
        </w:rPr>
        <w:t>重要指示，韩正副总理</w:t>
      </w:r>
      <w:proofErr w:type="gramStart"/>
      <w:r w:rsidRPr="00343FDF">
        <w:rPr>
          <w:rFonts w:ascii="仿宋_GB2312" w:eastAsia="仿宋_GB2312" w:hAnsi="仿宋_GB2312" w:cs="仿宋_GB2312" w:hint="eastAsia"/>
          <w:sz w:val="30"/>
          <w:szCs w:val="30"/>
        </w:rPr>
        <w:t>作出</w:t>
      </w:r>
      <w:proofErr w:type="gramEnd"/>
      <w:r w:rsidRPr="00343FDF">
        <w:rPr>
          <w:rFonts w:ascii="仿宋_GB2312" w:eastAsia="仿宋_GB2312" w:hAnsi="仿宋_GB2312" w:cs="仿宋_GB2312" w:hint="eastAsia"/>
          <w:sz w:val="30"/>
          <w:szCs w:val="30"/>
        </w:rPr>
        <w:t>批示要求。生态环境</w:t>
      </w:r>
      <w:proofErr w:type="gramStart"/>
      <w:r w:rsidRPr="00343FDF">
        <w:rPr>
          <w:rFonts w:ascii="仿宋_GB2312" w:eastAsia="仿宋_GB2312" w:hAnsi="仿宋_GB2312" w:cs="仿宋_GB2312" w:hint="eastAsia"/>
          <w:sz w:val="30"/>
          <w:szCs w:val="30"/>
        </w:rPr>
        <w:t>部高度</w:t>
      </w:r>
      <w:proofErr w:type="gramEnd"/>
      <w:r w:rsidRPr="00343FDF">
        <w:rPr>
          <w:rFonts w:ascii="仿宋_GB2312" w:eastAsia="仿宋_GB2312" w:hAnsi="仿宋_GB2312" w:cs="仿宋_GB2312" w:hint="eastAsia"/>
          <w:sz w:val="30"/>
          <w:szCs w:val="30"/>
        </w:rPr>
        <w:t>重视，孙金龙书记要求对地方加强指导、系统治理，黄润秋部长指出要技术可行、经济合理、环境改善，组织研究攻关，指导陕西省做好整治工作。</w:t>
      </w:r>
    </w:p>
    <w:p w14:paraId="0576E846" w14:textId="77777777" w:rsidR="00D56E03" w:rsidRPr="00343FDF" w:rsidRDefault="00000000">
      <w:pPr>
        <w:spacing w:line="560" w:lineRule="exact"/>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统计2018年以来在生态环境部网站上公开曝光的矿山生态环境整治突出的49个问题，其中大多数是中央环保督察发现的</w:t>
      </w:r>
      <w:r w:rsidRPr="00343FDF">
        <w:rPr>
          <w:rFonts w:ascii="仿宋_GB2312" w:eastAsia="仿宋_GB2312" w:hAnsi="仿宋_GB2312" w:cs="仿宋_GB2312" w:hint="eastAsia"/>
          <w:sz w:val="30"/>
          <w:szCs w:val="30"/>
        </w:rPr>
        <w:lastRenderedPageBreak/>
        <w:t>问题，以及“回头看”过程中发现的问题。49个问题均造成了严重的生态环境污染和生态环境破坏问题，部分涉金属矿区（山）地质灾害隐患突出。49个问题中暴露出来的问题主要集中在三个方面：</w:t>
      </w:r>
    </w:p>
    <w:p w14:paraId="3DB96DE4" w14:textId="77777777" w:rsidR="00D56E03" w:rsidRPr="00343FDF" w:rsidRDefault="00000000">
      <w:pPr>
        <w:widowControl/>
        <w:shd w:val="clear" w:color="auto" w:fill="FFFFFF"/>
        <w:spacing w:line="560" w:lineRule="exact"/>
        <w:ind w:firstLine="482"/>
        <w:jc w:val="left"/>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（1）违法开采、野蛮开采、变相躲避生态环境整治责任。出现了</w:t>
      </w:r>
      <w:proofErr w:type="gramStart"/>
      <w:r w:rsidRPr="00343FDF">
        <w:rPr>
          <w:rFonts w:ascii="仿宋_GB2312" w:eastAsia="仿宋_GB2312" w:hAnsi="仿宋_GB2312" w:cs="仿宋_GB2312" w:hint="eastAsia"/>
          <w:sz w:val="30"/>
          <w:szCs w:val="30"/>
        </w:rPr>
        <w:t>以停代</w:t>
      </w:r>
      <w:proofErr w:type="gramEnd"/>
      <w:r w:rsidRPr="00343FDF">
        <w:rPr>
          <w:rFonts w:ascii="仿宋_GB2312" w:eastAsia="仿宋_GB2312" w:hAnsi="仿宋_GB2312" w:cs="仿宋_GB2312" w:hint="eastAsia"/>
          <w:sz w:val="30"/>
          <w:szCs w:val="30"/>
        </w:rPr>
        <w:t>治、以调代改为矿产开发让路、以治理地质灾害之名行开采之实、开发式治理、以应急排险为名非法开采等方面的突出问题。</w:t>
      </w:r>
    </w:p>
    <w:p w14:paraId="0DB9A0F8" w14:textId="77777777" w:rsidR="00D56E03" w:rsidRPr="00343FDF" w:rsidRDefault="00000000">
      <w:pPr>
        <w:widowControl/>
        <w:shd w:val="clear" w:color="auto" w:fill="FFFFFF"/>
        <w:spacing w:line="560" w:lineRule="exact"/>
        <w:ind w:firstLine="482"/>
        <w:jc w:val="left"/>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（2）生态环境整治严重滞后的问题。这是一个很普遍的问题，49个项目中有22个项目存在该问题，是非常突出的重要问题。</w:t>
      </w:r>
    </w:p>
    <w:p w14:paraId="2560F51B" w14:textId="77777777" w:rsidR="00D56E03" w:rsidRPr="00343FDF" w:rsidRDefault="00000000">
      <w:pPr>
        <w:widowControl/>
        <w:shd w:val="clear" w:color="auto" w:fill="FFFFFF"/>
        <w:spacing w:line="560" w:lineRule="exact"/>
        <w:ind w:firstLine="482"/>
        <w:jc w:val="left"/>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（3）矿山固体废物无序不规范堆放、淋溶水污染土壤和河道，尾矿</w:t>
      </w:r>
      <w:proofErr w:type="gramStart"/>
      <w:r w:rsidRPr="00343FDF">
        <w:rPr>
          <w:rFonts w:ascii="仿宋_GB2312" w:eastAsia="仿宋_GB2312" w:hAnsi="仿宋_GB2312" w:cs="仿宋_GB2312" w:hint="eastAsia"/>
          <w:sz w:val="30"/>
          <w:szCs w:val="30"/>
        </w:rPr>
        <w:t>库环境</w:t>
      </w:r>
      <w:proofErr w:type="gramEnd"/>
      <w:r w:rsidRPr="00343FDF">
        <w:rPr>
          <w:rFonts w:ascii="仿宋_GB2312" w:eastAsia="仿宋_GB2312" w:hAnsi="仿宋_GB2312" w:cs="仿宋_GB2312" w:hint="eastAsia"/>
          <w:sz w:val="30"/>
          <w:szCs w:val="30"/>
        </w:rPr>
        <w:t>风险隐患突出。</w:t>
      </w:r>
    </w:p>
    <w:p w14:paraId="13A7CA54" w14:textId="77777777" w:rsidR="00D56E03" w:rsidRPr="00343FDF" w:rsidRDefault="00000000">
      <w:pPr>
        <w:widowControl/>
        <w:shd w:val="clear" w:color="auto" w:fill="FFFFFF"/>
        <w:spacing w:line="560" w:lineRule="exact"/>
        <w:ind w:firstLine="482"/>
        <w:jc w:val="left"/>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尤其是第三个方面的问题很突出。矿山开采过程中，尤其是涉重金属历史遗留矿山开采造成的废渣无序堆存、矿</w:t>
      </w:r>
      <w:proofErr w:type="gramStart"/>
      <w:r w:rsidRPr="00343FDF">
        <w:rPr>
          <w:rFonts w:ascii="仿宋_GB2312" w:eastAsia="仿宋_GB2312" w:hAnsi="仿宋_GB2312" w:cs="仿宋_GB2312" w:hint="eastAsia"/>
          <w:sz w:val="30"/>
          <w:szCs w:val="30"/>
        </w:rPr>
        <w:t>硐</w:t>
      </w:r>
      <w:proofErr w:type="gramEnd"/>
      <w:r w:rsidRPr="00343FDF">
        <w:rPr>
          <w:rFonts w:ascii="仿宋_GB2312" w:eastAsia="仿宋_GB2312" w:hAnsi="仿宋_GB2312" w:cs="仿宋_GB2312" w:hint="eastAsia"/>
          <w:sz w:val="30"/>
          <w:szCs w:val="30"/>
        </w:rPr>
        <w:t>涌水污染、土壤污染、地下水污染、地表水污染和环境风险等生态环境污染，以及土地资源占用、地质灾害问题突出、生态功能遭到破坏等生态环境问题，部分区域与区域水质安全、区域生态环境功能恢复、甚至国家生态安全都有密切关系。典型案例包括2018年湖南省益阳市石煤矿山环境污染问题、贵州黔西南州兴仁市敷衍整改及金矿尾矿</w:t>
      </w:r>
      <w:proofErr w:type="gramStart"/>
      <w:r w:rsidRPr="00343FDF">
        <w:rPr>
          <w:rFonts w:ascii="仿宋_GB2312" w:eastAsia="仿宋_GB2312" w:hAnsi="仿宋_GB2312" w:cs="仿宋_GB2312" w:hint="eastAsia"/>
          <w:sz w:val="30"/>
          <w:szCs w:val="30"/>
        </w:rPr>
        <w:t>库环境</w:t>
      </w:r>
      <w:proofErr w:type="gramEnd"/>
      <w:r w:rsidRPr="00343FDF">
        <w:rPr>
          <w:rFonts w:ascii="仿宋_GB2312" w:eastAsia="仿宋_GB2312" w:hAnsi="仿宋_GB2312" w:cs="仿宋_GB2312" w:hint="eastAsia"/>
          <w:sz w:val="30"/>
          <w:szCs w:val="30"/>
        </w:rPr>
        <w:t>隐患突出，2020年曝光的玉树州大场金矿3万吨含</w:t>
      </w:r>
      <w:proofErr w:type="gramStart"/>
      <w:r w:rsidRPr="00343FDF">
        <w:rPr>
          <w:rFonts w:ascii="仿宋_GB2312" w:eastAsia="仿宋_GB2312" w:hAnsi="仿宋_GB2312" w:cs="仿宋_GB2312" w:hint="eastAsia"/>
          <w:sz w:val="30"/>
          <w:szCs w:val="30"/>
        </w:rPr>
        <w:t>氰化物危废露天</w:t>
      </w:r>
      <w:proofErr w:type="gramEnd"/>
      <w:r w:rsidRPr="00343FDF">
        <w:rPr>
          <w:rFonts w:ascii="仿宋_GB2312" w:eastAsia="仿宋_GB2312" w:hAnsi="仿宋_GB2312" w:cs="仿宋_GB2312" w:hint="eastAsia"/>
          <w:sz w:val="30"/>
          <w:szCs w:val="30"/>
        </w:rPr>
        <w:t>堆存造成的周边环境威胁、陕西秦巴山区硫铁涉金属矿区污染严重问题，2021年曝光的马鞍山市向山涉金属矿区硫铁矿山、合肥市钟山铁矿等涉金</w:t>
      </w:r>
      <w:r w:rsidRPr="00343FDF">
        <w:rPr>
          <w:rFonts w:ascii="仿宋_GB2312" w:eastAsia="仿宋_GB2312" w:hAnsi="仿宋_GB2312" w:cs="仿宋_GB2312" w:hint="eastAsia"/>
          <w:sz w:val="30"/>
          <w:szCs w:val="30"/>
        </w:rPr>
        <w:lastRenderedPageBreak/>
        <w:t>属矿区酸性废水淋溶造成河道污染，中国黄金集团滇桂</w:t>
      </w:r>
      <w:proofErr w:type="gramStart"/>
      <w:r w:rsidRPr="00343FDF">
        <w:rPr>
          <w:rFonts w:ascii="仿宋_GB2312" w:eastAsia="仿宋_GB2312" w:hAnsi="仿宋_GB2312" w:cs="仿宋_GB2312" w:hint="eastAsia"/>
          <w:sz w:val="30"/>
          <w:szCs w:val="30"/>
        </w:rPr>
        <w:t>黔区域</w:t>
      </w:r>
      <w:proofErr w:type="gramEnd"/>
      <w:r w:rsidRPr="00343FDF">
        <w:rPr>
          <w:rFonts w:ascii="仿宋_GB2312" w:eastAsia="仿宋_GB2312" w:hAnsi="仿宋_GB2312" w:cs="仿宋_GB2312" w:hint="eastAsia"/>
          <w:sz w:val="30"/>
          <w:szCs w:val="30"/>
        </w:rPr>
        <w:t>矿产资源开发生态破坏问题突出，废渣淋溶水污染严重，尾矿库渗滤液直</w:t>
      </w:r>
      <w:proofErr w:type="gramStart"/>
      <w:r w:rsidRPr="00343FDF">
        <w:rPr>
          <w:rFonts w:ascii="仿宋_GB2312" w:eastAsia="仿宋_GB2312" w:hAnsi="仿宋_GB2312" w:cs="仿宋_GB2312" w:hint="eastAsia"/>
          <w:sz w:val="30"/>
          <w:szCs w:val="30"/>
        </w:rPr>
        <w:t>排造成</w:t>
      </w:r>
      <w:proofErr w:type="gramEnd"/>
      <w:r w:rsidRPr="00343FDF">
        <w:rPr>
          <w:rFonts w:ascii="仿宋_GB2312" w:eastAsia="仿宋_GB2312" w:hAnsi="仿宋_GB2312" w:cs="仿宋_GB2312" w:hint="eastAsia"/>
          <w:sz w:val="30"/>
          <w:szCs w:val="30"/>
        </w:rPr>
        <w:t>河道水污染严重等典型问题。</w:t>
      </w:r>
    </w:p>
    <w:p w14:paraId="2709B0DD" w14:textId="77777777" w:rsidR="00D56E03" w:rsidRPr="00343FDF" w:rsidRDefault="00000000">
      <w:pPr>
        <w:spacing w:line="560" w:lineRule="exact"/>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“十四五”时期</w:t>
      </w:r>
      <w:bookmarkStart w:id="4" w:name="_Hlk185248120"/>
      <w:r w:rsidRPr="00343FDF">
        <w:rPr>
          <w:rFonts w:ascii="仿宋_GB2312" w:eastAsia="仿宋_GB2312" w:hAnsi="仿宋_GB2312" w:cs="仿宋_GB2312" w:hint="eastAsia"/>
          <w:sz w:val="30"/>
          <w:szCs w:val="30"/>
        </w:rPr>
        <w:t>涉重金属矿山环境污染防治</w:t>
      </w:r>
      <w:bookmarkEnd w:id="4"/>
      <w:r w:rsidRPr="00343FDF">
        <w:rPr>
          <w:rFonts w:ascii="仿宋_GB2312" w:eastAsia="仿宋_GB2312" w:hAnsi="仿宋_GB2312" w:cs="仿宋_GB2312" w:hint="eastAsia"/>
          <w:sz w:val="30"/>
          <w:szCs w:val="30"/>
        </w:rPr>
        <w:t>是我国深入推进污染防治攻坚战、开展国土空间生态修复、解决与老百姓密切相关的生态环境问题中必须要大力解决的重点问题之一。</w:t>
      </w:r>
    </w:p>
    <w:p w14:paraId="39D2D88A" w14:textId="77777777" w:rsidR="00D56E03" w:rsidRPr="00343FDF" w:rsidRDefault="00000000">
      <w:pPr>
        <w:pStyle w:val="3"/>
        <w:spacing w:before="120" w:after="120" w:line="240" w:lineRule="auto"/>
        <w:rPr>
          <w:rFonts w:ascii="华文楷体" w:eastAsia="华文楷体" w:hAnsi="华文楷体" w:hint="eastAsia"/>
          <w:sz w:val="30"/>
          <w:szCs w:val="30"/>
        </w:rPr>
      </w:pPr>
      <w:bookmarkStart w:id="5" w:name="_Toc14052"/>
      <w:r w:rsidRPr="00343FDF">
        <w:rPr>
          <w:rFonts w:ascii="华文楷体" w:eastAsia="华文楷体" w:hAnsi="华文楷体" w:hint="eastAsia"/>
          <w:sz w:val="30"/>
          <w:szCs w:val="30"/>
        </w:rPr>
        <w:t>（2）“十四五”相关政策分析</w:t>
      </w:r>
      <w:bookmarkEnd w:id="5"/>
    </w:p>
    <w:p w14:paraId="68CA0032" w14:textId="77777777" w:rsidR="00D56E03" w:rsidRPr="00343FDF" w:rsidRDefault="00000000">
      <w:pPr>
        <w:widowControl/>
        <w:shd w:val="clear" w:color="auto" w:fill="FFFFFF"/>
        <w:spacing w:line="560" w:lineRule="exact"/>
        <w:ind w:firstLine="482"/>
        <w:jc w:val="left"/>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当前陕西省已发布了《陕西省“十四五”生态环境保护规划》，规划中将矿山污染防治放在了较为突出的位置，明确了相应的整治任务和要求。要求</w:t>
      </w:r>
      <w:proofErr w:type="gramStart"/>
      <w:r w:rsidRPr="00343FDF">
        <w:rPr>
          <w:rFonts w:ascii="仿宋_GB2312" w:eastAsia="仿宋_GB2312" w:hAnsi="仿宋_GB2312" w:cs="仿宋_GB2312" w:hint="eastAsia"/>
          <w:sz w:val="30"/>
          <w:szCs w:val="30"/>
        </w:rPr>
        <w:t>“</w:t>
      </w:r>
      <w:proofErr w:type="gramEnd"/>
      <w:r w:rsidRPr="00343FDF">
        <w:rPr>
          <w:rFonts w:ascii="仿宋_GB2312" w:eastAsia="仿宋_GB2312" w:hAnsi="仿宋_GB2312" w:cs="仿宋_GB2312" w:hint="eastAsia"/>
          <w:sz w:val="30"/>
          <w:szCs w:val="30"/>
        </w:rPr>
        <w:t>以白河县硫铁矿污染治理为重点，全面深入排查影响汉丹江水质安全的涉金属矿产开发污染隐患问题，加快编制实施《陕西省汉江丹江流域涉金属矿产开发污染防治规划》《白河县硫铁涉重矿区污染综合治理总体方案》，全力推进陕南硫铁矿、涉重金属矿专项整治。坚持“一矿</w:t>
      </w:r>
      <w:proofErr w:type="gramStart"/>
      <w:r w:rsidRPr="00343FDF">
        <w:rPr>
          <w:rFonts w:ascii="仿宋_GB2312" w:eastAsia="仿宋_GB2312" w:hAnsi="仿宋_GB2312" w:cs="仿宋_GB2312" w:hint="eastAsia"/>
          <w:sz w:val="30"/>
          <w:szCs w:val="30"/>
        </w:rPr>
        <w:t>一</w:t>
      </w:r>
      <w:proofErr w:type="gramEnd"/>
      <w:r w:rsidRPr="00343FDF">
        <w:rPr>
          <w:rFonts w:ascii="仿宋_GB2312" w:eastAsia="仿宋_GB2312" w:hAnsi="仿宋_GB2312" w:cs="仿宋_GB2312" w:hint="eastAsia"/>
          <w:sz w:val="30"/>
          <w:szCs w:val="30"/>
        </w:rPr>
        <w:t>策”，因地制宜开展污染整治。</w:t>
      </w:r>
      <w:proofErr w:type="gramStart"/>
      <w:r w:rsidRPr="00343FDF">
        <w:rPr>
          <w:rFonts w:ascii="仿宋_GB2312" w:eastAsia="仿宋_GB2312" w:hAnsi="仿宋_GB2312" w:cs="仿宋_GB2312" w:hint="eastAsia"/>
          <w:sz w:val="30"/>
          <w:szCs w:val="30"/>
        </w:rPr>
        <w:t>”</w:t>
      </w:r>
      <w:proofErr w:type="gramEnd"/>
      <w:r w:rsidRPr="00343FDF">
        <w:rPr>
          <w:rFonts w:ascii="仿宋_GB2312" w:eastAsia="仿宋_GB2312" w:hAnsi="仿宋_GB2312" w:cs="仿宋_GB2312" w:hint="eastAsia"/>
          <w:sz w:val="30"/>
          <w:szCs w:val="30"/>
        </w:rPr>
        <w:t>这些任务的提出既充分体现了“十四五”加快涉重金属矿山环境污染防治的重要性，同时体现出重点方向和急需解决的技术问题。</w:t>
      </w:r>
    </w:p>
    <w:p w14:paraId="287664BE"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6" w:name="_Toc8274"/>
      <w:r w:rsidRPr="00343FDF">
        <w:rPr>
          <w:rFonts w:ascii="华文楷体" w:eastAsia="华文楷体" w:hAnsi="华文楷体" w:hint="eastAsia"/>
          <w:sz w:val="30"/>
          <w:szCs w:val="30"/>
        </w:rPr>
        <w:t>1.3目的和意义</w:t>
      </w:r>
      <w:bookmarkEnd w:id="6"/>
    </w:p>
    <w:p w14:paraId="61039A0C" w14:textId="77777777" w:rsidR="00D56E03" w:rsidRPr="00343FDF" w:rsidRDefault="00000000">
      <w:pPr>
        <w:widowControl/>
        <w:shd w:val="clear" w:color="auto" w:fill="FFFFFF"/>
        <w:spacing w:line="560" w:lineRule="exact"/>
        <w:ind w:firstLine="482"/>
        <w:jc w:val="left"/>
        <w:rPr>
          <w:rFonts w:ascii="仿宋_GB2312" w:eastAsia="仿宋_GB2312" w:hAnsi="仿宋_GB2312" w:cs="仿宋_GB2312" w:hint="eastAsia"/>
          <w:sz w:val="30"/>
          <w:szCs w:val="30"/>
        </w:rPr>
      </w:pPr>
      <w:r w:rsidRPr="00343FDF">
        <w:rPr>
          <w:rFonts w:ascii="仿宋_GB2312" w:eastAsia="仿宋_GB2312" w:hAnsi="仿宋_GB2312" w:cs="仿宋_GB2312" w:hint="eastAsia"/>
          <w:b/>
          <w:bCs/>
          <w:sz w:val="30"/>
          <w:szCs w:val="30"/>
        </w:rPr>
        <w:t>现实中技术指导性文件的缺失和现实需求分析：</w:t>
      </w:r>
      <w:r w:rsidRPr="00343FDF">
        <w:rPr>
          <w:rFonts w:ascii="仿宋_GB2312" w:eastAsia="仿宋_GB2312" w:hAnsi="仿宋_GB2312" w:cs="仿宋_GB2312" w:hint="eastAsia"/>
          <w:sz w:val="30"/>
          <w:szCs w:val="30"/>
        </w:rPr>
        <w:t>编制矿山污染治理可行性研究报告是各地实施涉重金属历史遗留矿山环境污染防治、完成相关资金申请、开展工程项目可行性研究、初步设计文件编制与审批中必须要完成的一项重要技术文件。通过资料查询和分析，当前我国针对涉重金属历史遗留矿山治</w:t>
      </w:r>
      <w:r w:rsidRPr="00343FDF">
        <w:rPr>
          <w:rFonts w:ascii="仿宋_GB2312" w:eastAsia="仿宋_GB2312" w:hAnsi="仿宋_GB2312" w:cs="仿宋_GB2312" w:hint="eastAsia"/>
          <w:sz w:val="30"/>
          <w:szCs w:val="30"/>
        </w:rPr>
        <w:lastRenderedPageBreak/>
        <w:t>理可行性研究报告编制指南性文件尚属于空白。各地编制的可行性研究报告内容不统一、编制深度不一、技术方案不统一、治理目标指标的确定缺乏相应的技术方法，造成现实工作中无论是可行性研究报告的编制，还是可行性研究报告评审、审批等环节中诸多问题和矛盾。</w:t>
      </w:r>
    </w:p>
    <w:p w14:paraId="6239B412" w14:textId="77777777" w:rsidR="00D56E03" w:rsidRPr="00343FDF" w:rsidRDefault="00000000">
      <w:pPr>
        <w:pStyle w:val="aa"/>
        <w:widowControl/>
        <w:spacing w:beforeAutospacing="0" w:afterAutospacing="0" w:line="360" w:lineRule="auto"/>
        <w:ind w:firstLineChars="200" w:firstLine="602"/>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b/>
          <w:bCs/>
          <w:kern w:val="2"/>
          <w:sz w:val="30"/>
          <w:szCs w:val="30"/>
        </w:rPr>
        <w:t>编制该技术指南的目的和意义表现在：</w:t>
      </w:r>
      <w:r w:rsidRPr="00343FDF">
        <w:rPr>
          <w:rFonts w:ascii="仿宋_GB2312" w:eastAsia="仿宋_GB2312" w:hAnsi="仿宋_GB2312" w:cs="仿宋_GB2312" w:hint="eastAsia"/>
          <w:sz w:val="30"/>
          <w:szCs w:val="30"/>
        </w:rPr>
        <w:t>涉重金属历史遗留矿区</w:t>
      </w:r>
      <w:r w:rsidRPr="00343FDF">
        <w:rPr>
          <w:rFonts w:ascii="仿宋_GB2312" w:eastAsia="仿宋_GB2312" w:hAnsi="仿宋_GB2312" w:cs="仿宋_GB2312" w:hint="eastAsia"/>
          <w:kern w:val="2"/>
          <w:sz w:val="30"/>
          <w:szCs w:val="30"/>
        </w:rPr>
        <w:t>面临的污染问题的解决必须建立在制定一个科学、合理、具有针对性和操作性的综合治理可行性研究报告的基础上，编制一个科学合理的可行性研究报告是</w:t>
      </w:r>
      <w:r w:rsidRPr="00343FDF">
        <w:rPr>
          <w:rFonts w:ascii="仿宋_GB2312" w:eastAsia="仿宋_GB2312" w:hAnsi="仿宋_GB2312" w:cs="仿宋_GB2312" w:hint="eastAsia"/>
          <w:sz w:val="30"/>
          <w:szCs w:val="30"/>
        </w:rPr>
        <w:t>涉重金属历史遗留矿山污染防治</w:t>
      </w:r>
      <w:r w:rsidRPr="00343FDF">
        <w:rPr>
          <w:rFonts w:ascii="仿宋_GB2312" w:eastAsia="仿宋_GB2312" w:hAnsi="仿宋_GB2312" w:cs="仿宋_GB2312" w:hint="eastAsia"/>
          <w:kern w:val="2"/>
          <w:sz w:val="30"/>
          <w:szCs w:val="30"/>
        </w:rPr>
        <w:t>项目实施能否取得预期目标、解决面临的生态环境问题的重要前提和基础。</w:t>
      </w:r>
      <w:r w:rsidRPr="00343FDF">
        <w:rPr>
          <w:rFonts w:ascii="仿宋_GB2312" w:eastAsia="仿宋_GB2312" w:hAnsi="仿宋_GB2312" w:cs="仿宋_GB2312" w:hint="eastAsia"/>
          <w:bCs/>
          <w:kern w:val="2"/>
          <w:sz w:val="30"/>
          <w:szCs w:val="30"/>
        </w:rPr>
        <w:t>为了对</w:t>
      </w:r>
      <w:r w:rsidRPr="00343FDF">
        <w:rPr>
          <w:rFonts w:ascii="仿宋_GB2312" w:eastAsia="仿宋_GB2312" w:hAnsi="仿宋_GB2312" w:cs="仿宋_GB2312" w:hint="eastAsia"/>
          <w:sz w:val="30"/>
          <w:szCs w:val="30"/>
        </w:rPr>
        <w:t>涉重金属历史遗留矿山污染治理可行性研究报告</w:t>
      </w:r>
      <w:r w:rsidRPr="00343FDF">
        <w:rPr>
          <w:rFonts w:ascii="仿宋_GB2312" w:eastAsia="仿宋_GB2312" w:hAnsi="仿宋_GB2312" w:cs="仿宋_GB2312" w:hint="eastAsia"/>
          <w:kern w:val="2"/>
          <w:sz w:val="30"/>
          <w:szCs w:val="30"/>
        </w:rPr>
        <w:t>的编制提供编制的技术指南，引导、规范和提高可行性研究报告编制质量，提高可行性研究报告编制的科学性、全面性、针对性和规范性，制定《</w:t>
      </w:r>
      <w:r w:rsidRPr="00343FDF">
        <w:rPr>
          <w:rFonts w:ascii="仿宋_GB2312" w:eastAsia="仿宋_GB2312" w:hAnsi="仿宋_GB2312" w:cs="仿宋_GB2312" w:hint="eastAsia"/>
          <w:sz w:val="30"/>
          <w:szCs w:val="30"/>
        </w:rPr>
        <w:t>历史遗留矿山治理可行性研究报告编制</w:t>
      </w:r>
      <w:r w:rsidRPr="00343FDF">
        <w:rPr>
          <w:rFonts w:ascii="仿宋_GB2312" w:eastAsia="仿宋_GB2312" w:hAnsi="仿宋_GB2312" w:cs="仿宋_GB2312" w:hint="eastAsia"/>
          <w:kern w:val="2"/>
          <w:sz w:val="30"/>
          <w:szCs w:val="30"/>
        </w:rPr>
        <w:t>》是非常重要和急迫的。</w:t>
      </w:r>
    </w:p>
    <w:p w14:paraId="5ABDFE17" w14:textId="77777777" w:rsidR="00D56E03" w:rsidRPr="00343FDF" w:rsidRDefault="00000000">
      <w:pPr>
        <w:pStyle w:val="aa"/>
        <w:widowControl/>
        <w:spacing w:beforeAutospacing="0" w:afterAutospacing="0" w:line="360" w:lineRule="auto"/>
        <w:ind w:firstLineChars="200" w:firstLine="602"/>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b/>
          <w:bCs/>
          <w:kern w:val="2"/>
          <w:sz w:val="30"/>
          <w:szCs w:val="30"/>
        </w:rPr>
        <w:t>该指南的用途表现在：</w:t>
      </w:r>
      <w:r w:rsidRPr="00343FDF">
        <w:rPr>
          <w:rFonts w:ascii="仿宋_GB2312" w:eastAsia="仿宋_GB2312" w:hAnsi="仿宋_GB2312" w:cs="仿宋_GB2312" w:hint="eastAsia"/>
          <w:kern w:val="2"/>
          <w:sz w:val="30"/>
          <w:szCs w:val="30"/>
        </w:rPr>
        <w:t>《</w:t>
      </w:r>
      <w:r w:rsidRPr="00343FDF">
        <w:rPr>
          <w:rFonts w:ascii="仿宋_GB2312" w:eastAsia="仿宋_GB2312" w:hAnsi="仿宋_GB2312" w:cs="仿宋_GB2312" w:hint="eastAsia"/>
          <w:sz w:val="30"/>
          <w:szCs w:val="30"/>
        </w:rPr>
        <w:t>历史遗留矿山治理可行性研究报告编制</w:t>
      </w:r>
      <w:r w:rsidRPr="00343FDF">
        <w:rPr>
          <w:rFonts w:ascii="仿宋_GB2312" w:eastAsia="仿宋_GB2312" w:hAnsi="仿宋_GB2312" w:cs="仿宋_GB2312" w:hint="eastAsia"/>
          <w:kern w:val="2"/>
          <w:sz w:val="30"/>
          <w:szCs w:val="30"/>
        </w:rPr>
        <w:t>》用于指导各地相关技术单位开展综合治理可行性研究、实施方案、区域综合整治规划等技术文件的编制，指导管理部门开展可行性研究、实施方案、整治规划的审批时作为技术参考和借鉴的技术性文件。通过该技术指南可科学、合理地确定涉重金属历史遗留矿山治理需要实现的目标指标、技术路线和技术方法、配套政策的制定、持续监测和监管任务、整治先后顺序和整治周期、资金投资等重要问题。</w:t>
      </w:r>
    </w:p>
    <w:p w14:paraId="45C9933E"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7" w:name="_Toc20264"/>
      <w:r w:rsidRPr="00343FDF">
        <w:rPr>
          <w:rFonts w:ascii="华文楷体" w:eastAsia="华文楷体" w:hAnsi="华文楷体" w:hint="eastAsia"/>
          <w:sz w:val="30"/>
          <w:szCs w:val="30"/>
        </w:rPr>
        <w:lastRenderedPageBreak/>
        <w:t>1.4标准编制过程</w:t>
      </w:r>
      <w:bookmarkEnd w:id="7"/>
    </w:p>
    <w:p w14:paraId="61229806"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（1）准备阶段</w:t>
      </w:r>
    </w:p>
    <w:p w14:paraId="072F0A9B"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2024年2月，陕西省环境科学研究院联合生态环境部环境规划院、中国地质调查局西安地质调查中心等单位初步研讨了申请制定涉金属矿山开发环境污染防治技术规范 第5部分：历史遗留矿山环境污染防治可行性研究报告编制。同月，向陕西省生态环境保护标准化技术委员会提出制定系列标准的建议，并通过地方标准制修订建议审查。</w:t>
      </w:r>
    </w:p>
    <w:p w14:paraId="32B6896B"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（2）立项阶段</w:t>
      </w:r>
    </w:p>
    <w:p w14:paraId="1FC28EB0"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2024年3月，经陕西省生态环境厅推荐，该标准项目申报书正式提交至陕西省市场监督管理局，《</w:t>
      </w:r>
      <w:r w:rsidRPr="00343FDF">
        <w:rPr>
          <w:rFonts w:ascii="仿宋_GB2312" w:eastAsia="仿宋_GB2312" w:hAnsi="仿宋_GB2312" w:cs="仿宋_GB2312" w:hint="eastAsia"/>
          <w:sz w:val="30"/>
          <w:szCs w:val="30"/>
        </w:rPr>
        <w:t>历史遗留矿山治理可行性研究报告编制</w:t>
      </w:r>
      <w:r w:rsidRPr="00343FDF">
        <w:rPr>
          <w:rFonts w:ascii="仿宋_GB2312" w:eastAsia="仿宋_GB2312" w:hAnsi="仿宋_GB2312" w:cs="仿宋_GB2312" w:hint="eastAsia"/>
          <w:kern w:val="2"/>
          <w:sz w:val="30"/>
          <w:szCs w:val="30"/>
        </w:rPr>
        <w:t>》由陕西省环境科学研究院牵头申报。</w:t>
      </w:r>
    </w:p>
    <w:p w14:paraId="05E8ADFD"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2023年5月，经专家评审后，陕西省市场监督管理局将《</w:t>
      </w:r>
      <w:r w:rsidRPr="00343FDF">
        <w:rPr>
          <w:rFonts w:ascii="仿宋_GB2312" w:eastAsia="仿宋_GB2312" w:hAnsi="仿宋_GB2312" w:cs="仿宋_GB2312" w:hint="eastAsia"/>
          <w:sz w:val="30"/>
          <w:szCs w:val="30"/>
        </w:rPr>
        <w:t>历史遗留矿山治理可行性研究报告编制</w:t>
      </w:r>
      <w:r w:rsidRPr="00343FDF">
        <w:rPr>
          <w:rFonts w:ascii="仿宋_GB2312" w:eastAsia="仿宋_GB2312" w:hAnsi="仿宋_GB2312" w:cs="仿宋_GB2312" w:hint="eastAsia"/>
          <w:kern w:val="2"/>
          <w:sz w:val="30"/>
          <w:szCs w:val="30"/>
        </w:rPr>
        <w:t>》列入2024年第一批地方标准制修订计划（</w:t>
      </w:r>
      <w:proofErr w:type="gramStart"/>
      <w:r w:rsidRPr="00343FDF">
        <w:rPr>
          <w:rFonts w:ascii="仿宋_GB2312" w:eastAsia="仿宋_GB2312" w:hAnsi="仿宋_GB2312" w:cs="仿宋_GB2312" w:hint="eastAsia"/>
          <w:kern w:val="2"/>
          <w:sz w:val="30"/>
          <w:szCs w:val="30"/>
        </w:rPr>
        <w:t>陕市监</w:t>
      </w:r>
      <w:proofErr w:type="gramEnd"/>
      <w:r w:rsidRPr="00343FDF">
        <w:rPr>
          <w:rFonts w:ascii="仿宋_GB2312" w:eastAsia="仿宋_GB2312" w:hAnsi="仿宋_GB2312" w:cs="仿宋_GB2312" w:hint="eastAsia"/>
          <w:kern w:val="2"/>
          <w:sz w:val="30"/>
          <w:szCs w:val="30"/>
        </w:rPr>
        <w:t>函〔2024〕276号），计划编号SDBXM 008-2024。</w:t>
      </w:r>
    </w:p>
    <w:p w14:paraId="4A67714A"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（3）起草阶段</w:t>
      </w:r>
    </w:p>
    <w:p w14:paraId="7D720E6D"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2024年5月项目获批立项后，陕西省环境科学研究院选派业务骨干与标准编制参与单位组成标准起草小组，召开编制工作启动会，研讨标准内容，明确任务分工和时间节点。</w:t>
      </w:r>
    </w:p>
    <w:p w14:paraId="1BA0770B"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2024年6月-2024年10月，标准起草小组对相关资料和调研情况全面整理、分析的基础上，广泛参阅国内外现有标准和有</w:t>
      </w:r>
      <w:r w:rsidRPr="00343FDF">
        <w:rPr>
          <w:rFonts w:ascii="仿宋_GB2312" w:eastAsia="仿宋_GB2312" w:hAnsi="仿宋_GB2312" w:cs="仿宋_GB2312" w:hint="eastAsia"/>
          <w:kern w:val="2"/>
          <w:sz w:val="30"/>
          <w:szCs w:val="30"/>
        </w:rPr>
        <w:lastRenderedPageBreak/>
        <w:t>关资料，开展标准制定工作。期间多次组织参编单位召开标准编制工作研讨会、推进会，对《</w:t>
      </w:r>
      <w:r w:rsidRPr="00343FDF">
        <w:rPr>
          <w:rFonts w:ascii="仿宋_GB2312" w:eastAsia="仿宋_GB2312" w:hAnsi="仿宋_GB2312" w:cs="仿宋_GB2312" w:hint="eastAsia"/>
          <w:sz w:val="30"/>
          <w:szCs w:val="30"/>
        </w:rPr>
        <w:t>历史遗留矿山治理可行性研究报告编制</w:t>
      </w:r>
      <w:r w:rsidRPr="00343FDF">
        <w:rPr>
          <w:rFonts w:ascii="仿宋_GB2312" w:eastAsia="仿宋_GB2312" w:hAnsi="仿宋_GB2312" w:cs="仿宋_GB2312" w:hint="eastAsia"/>
          <w:kern w:val="2"/>
          <w:sz w:val="30"/>
          <w:szCs w:val="30"/>
        </w:rPr>
        <w:t>》内容、与专项标准关系进行研讨，对标准内容进行修改完善，形成标准（征求意见稿）（初稿）。</w:t>
      </w:r>
    </w:p>
    <w:p w14:paraId="760395D1"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2024年11月，在参编单位内部征求意见，并根据意见对《</w:t>
      </w:r>
      <w:r w:rsidRPr="00343FDF">
        <w:rPr>
          <w:rFonts w:ascii="仿宋_GB2312" w:eastAsia="仿宋_GB2312" w:hAnsi="仿宋_GB2312" w:cs="仿宋_GB2312" w:hint="eastAsia"/>
          <w:sz w:val="30"/>
          <w:szCs w:val="30"/>
        </w:rPr>
        <w:t>历史遗留矿山治理可行性研究报告编制</w:t>
      </w:r>
      <w:r w:rsidRPr="00343FDF">
        <w:rPr>
          <w:rFonts w:ascii="仿宋_GB2312" w:eastAsia="仿宋_GB2312" w:hAnsi="仿宋_GB2312" w:cs="仿宋_GB2312" w:hint="eastAsia"/>
          <w:kern w:val="2"/>
          <w:sz w:val="30"/>
          <w:szCs w:val="30"/>
        </w:rPr>
        <w:t>》进行修改完善，目前标准参编单位已形成一致意见。</w:t>
      </w:r>
    </w:p>
    <w:p w14:paraId="0297754E"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2024年12月，按照《陕西省生态环境地方标准修订工作管理办法要求》，受陕西省生态环境厅委托，陕西省生态环境保护标准化技术委员会于2024年12月17日组织专家对《</w:t>
      </w:r>
      <w:r w:rsidRPr="00343FDF">
        <w:rPr>
          <w:rFonts w:ascii="仿宋_GB2312" w:eastAsia="仿宋_GB2312" w:hAnsi="仿宋_GB2312" w:cs="仿宋_GB2312" w:hint="eastAsia"/>
          <w:sz w:val="30"/>
          <w:szCs w:val="30"/>
        </w:rPr>
        <w:t>历史遗留矿山治理可行性研究报告编制</w:t>
      </w:r>
      <w:r w:rsidRPr="00343FDF">
        <w:rPr>
          <w:rFonts w:ascii="仿宋_GB2312" w:eastAsia="仿宋_GB2312" w:hAnsi="仿宋_GB2312" w:cs="仿宋_GB2312" w:hint="eastAsia"/>
          <w:kern w:val="2"/>
          <w:sz w:val="30"/>
          <w:szCs w:val="30"/>
        </w:rPr>
        <w:t>》（征求意见稿）从内容的完整性、科学性、适用性、与相关标准的协调性、标准的格式和体例等方面开展技术审查。经审查认为，该标准调研充分、结构合理，对历史遗留矿山污染防治可行性研究报告编制具有指导意义，同意通过审查并提出修改意见，经专家复核后，按规定开展征求意见工作。</w:t>
      </w:r>
    </w:p>
    <w:p w14:paraId="077BE6EA"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8" w:name="_Toc11057"/>
      <w:r w:rsidRPr="00343FDF">
        <w:rPr>
          <w:rFonts w:ascii="华文楷体" w:eastAsia="华文楷体" w:hAnsi="华文楷体" w:hint="eastAsia"/>
          <w:sz w:val="30"/>
          <w:szCs w:val="30"/>
        </w:rPr>
        <w:t>1.5标准编制单位及主要起草人</w:t>
      </w:r>
      <w:bookmarkEnd w:id="8"/>
    </w:p>
    <w:p w14:paraId="37564D9E"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本标准主要有陕西省环境科学研究院、生态环境部环境规划院、中国地质调查局西安地质调查中心等编制完成，另有部分相关企业参与了本标准的研讨工作。</w:t>
      </w:r>
    </w:p>
    <w:p w14:paraId="04EC701F" w14:textId="77777777" w:rsidR="00D56E03" w:rsidRPr="00343FDF" w:rsidRDefault="00000000">
      <w:pPr>
        <w:pStyle w:val="1"/>
        <w:spacing w:line="240" w:lineRule="auto"/>
        <w:rPr>
          <w:rFonts w:ascii="黑体" w:eastAsia="黑体" w:hAnsi="黑体" w:hint="eastAsia"/>
          <w:sz w:val="32"/>
          <w:szCs w:val="32"/>
        </w:rPr>
      </w:pPr>
      <w:bookmarkStart w:id="9" w:name="_Toc8103"/>
      <w:r w:rsidRPr="00343FDF">
        <w:rPr>
          <w:rFonts w:ascii="黑体" w:eastAsia="黑体" w:hAnsi="黑体" w:hint="eastAsia"/>
          <w:sz w:val="32"/>
          <w:szCs w:val="32"/>
        </w:rPr>
        <w:lastRenderedPageBreak/>
        <w:t>2、相关国际或国内标准的制定现状</w:t>
      </w:r>
      <w:bookmarkEnd w:id="9"/>
    </w:p>
    <w:p w14:paraId="7D96159F" w14:textId="77777777" w:rsidR="00D56E03" w:rsidRPr="00343FDF" w:rsidRDefault="00000000">
      <w:pPr>
        <w:pStyle w:val="aa"/>
        <w:widowControl/>
        <w:spacing w:beforeAutospacing="0" w:afterAutospacing="0" w:line="360" w:lineRule="auto"/>
        <w:ind w:firstLineChars="200" w:firstLine="600"/>
        <w:jc w:val="both"/>
        <w:rPr>
          <w:rFonts w:ascii="仿宋_GB2312" w:eastAsia="仿宋_GB2312" w:hAnsi="仿宋_GB2312" w:cs="仿宋_GB2312" w:hint="eastAsia"/>
          <w:kern w:val="2"/>
          <w:sz w:val="30"/>
          <w:szCs w:val="30"/>
        </w:rPr>
      </w:pPr>
      <w:r w:rsidRPr="00343FDF">
        <w:rPr>
          <w:rFonts w:ascii="仿宋_GB2312" w:eastAsia="仿宋_GB2312" w:hAnsi="仿宋_GB2312" w:cs="仿宋_GB2312" w:hint="eastAsia"/>
          <w:kern w:val="2"/>
          <w:sz w:val="30"/>
          <w:szCs w:val="30"/>
        </w:rPr>
        <w:t>针对矿山地质环境保护问题，原国土资源部制定了矿山地质环境保护与土地复垦方案编制技术指南。2005年9月，原环境保护总结会同相关部委制定了《矿山生态环境保护与污染防治技术政策》， 提出“污染防治与生态环境保护并重，生态环境保护与生态环境建设并举；以及预防为主、防治结合、过程控制、综合治理”的指导方针。该技术政策中的各项规定较为原则。在该技术政策中并未对生态环境保护与污染防治提出较为具体的技术方法，同时也未提出开展涉金属废弃矿山污染防治可行性研究报告编制的要求。2007年9月原国土资源部发布《矿山环境保护与综合治理方案编制规范》（地质矿产行业标准中的推荐性标准）。随后为了加强矿山地质环境保护与土地复垦工作和成效，先后发布了《矿山地质环境保护与恢复治理方案编制规范》（2009年）、《矿山地质环境保护与土地复垦方案编制技术规范》等技术性文件，提出了相应的工作程序和各环节上的技术要求等。这些技术性文件对矿山环境污染防治方面的问题关注较少，但相关要求（如现状调查、分区评估、整治技术要求、图件绘制等）对</w:t>
      </w:r>
      <w:bookmarkStart w:id="10" w:name="_Hlk118280986"/>
      <w:bookmarkStart w:id="11" w:name="_Hlk185248807"/>
      <w:r w:rsidRPr="00343FDF">
        <w:rPr>
          <w:rFonts w:ascii="仿宋_GB2312" w:eastAsia="仿宋_GB2312" w:hAnsi="仿宋_GB2312" w:cs="仿宋_GB2312" w:hint="eastAsia"/>
          <w:kern w:val="2"/>
          <w:sz w:val="30"/>
          <w:szCs w:val="30"/>
        </w:rPr>
        <w:t>涉重金属</w:t>
      </w:r>
      <w:bookmarkEnd w:id="10"/>
      <w:r w:rsidRPr="00343FDF">
        <w:rPr>
          <w:rFonts w:ascii="仿宋_GB2312" w:eastAsia="仿宋_GB2312" w:hAnsi="仿宋_GB2312" w:cs="仿宋_GB2312" w:hint="eastAsia"/>
          <w:kern w:val="2"/>
          <w:sz w:val="30"/>
          <w:szCs w:val="30"/>
        </w:rPr>
        <w:t>历史遗留矿山治理可行性研究报告</w:t>
      </w:r>
      <w:bookmarkEnd w:id="11"/>
      <w:r w:rsidRPr="00343FDF">
        <w:rPr>
          <w:rFonts w:ascii="仿宋_GB2312" w:eastAsia="仿宋_GB2312" w:hAnsi="仿宋_GB2312" w:cs="仿宋_GB2312" w:hint="eastAsia"/>
          <w:kern w:val="2"/>
          <w:sz w:val="30"/>
          <w:szCs w:val="30"/>
        </w:rPr>
        <w:t>的编制具有一定的借鉴作用。</w:t>
      </w:r>
    </w:p>
    <w:p w14:paraId="01C87618" w14:textId="77777777" w:rsidR="00D56E03" w:rsidRPr="00343FDF" w:rsidRDefault="00000000">
      <w:pPr>
        <w:spacing w:line="360" w:lineRule="auto"/>
        <w:ind w:firstLine="482"/>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2012年12月环境保护部印发《矿山生态环境保护与恢复治理方案编制导则》，以规范矿产资源开发过程中的生态环境保护与恢复治理工作。该导则所指矿山生态环境是指涉金属矿区内生</w:t>
      </w:r>
      <w:r w:rsidRPr="00343FDF">
        <w:rPr>
          <w:rFonts w:ascii="仿宋_GB2312" w:eastAsia="仿宋_GB2312" w:hAnsi="仿宋_GB2312" w:cs="仿宋_GB2312" w:hint="eastAsia"/>
          <w:sz w:val="30"/>
          <w:szCs w:val="30"/>
        </w:rPr>
        <w:lastRenderedPageBreak/>
        <w:t>态系统和环境系统的整体，包括地表植被与景观、生物多样性、大气环境、水环境、土壤环境、地质环境、声环境等。该导则适用于新建和已投产矿山企业的编制，主要针对矿山开采至闭矿阶段的生态保护、治理与恢复具体工作。该方案编制内容在一定程度上体现出矿山开展治理可行性研究报告编制需要开展的工作内容。</w:t>
      </w:r>
    </w:p>
    <w:p w14:paraId="0267179E" w14:textId="77777777" w:rsidR="00D56E03" w:rsidRPr="00343FDF" w:rsidRDefault="00000000">
      <w:pPr>
        <w:spacing w:line="360" w:lineRule="auto"/>
        <w:ind w:firstLine="482"/>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2013年生态环境部发布了《矿山生态环境保护与恢复治理方案（规划）编制规范（试行）》（HJ652-2013），该文件规定了规范（规划）编制的原则、程序、内容和技术要求。该规范在主要生态环境问题识别与预测分析中，关注了大气、水体（包括地表水和地下水等）、土壤、</w:t>
      </w:r>
      <w:bookmarkStart w:id="12" w:name="_Hlk118281172"/>
      <w:r w:rsidRPr="00343FDF">
        <w:rPr>
          <w:rFonts w:ascii="仿宋_GB2312" w:eastAsia="仿宋_GB2312" w:hAnsi="仿宋_GB2312" w:cs="仿宋_GB2312" w:hint="eastAsia"/>
          <w:sz w:val="30"/>
          <w:szCs w:val="30"/>
        </w:rPr>
        <w:t>涉重金属矿</w:t>
      </w:r>
      <w:bookmarkEnd w:id="12"/>
      <w:r w:rsidRPr="00343FDF">
        <w:rPr>
          <w:rFonts w:ascii="仿宋_GB2312" w:eastAsia="仿宋_GB2312" w:hAnsi="仿宋_GB2312" w:cs="仿宋_GB2312" w:hint="eastAsia"/>
          <w:sz w:val="30"/>
          <w:szCs w:val="30"/>
        </w:rPr>
        <w:t>山生态系统和生物多样性等方向的污染或者破坏的现状与程度等，以及对涉重金属矿山水土流失、地表沉陷对土地资源的破坏、生态功能下降的情况的调查、分析和预测等。</w:t>
      </w:r>
    </w:p>
    <w:p w14:paraId="4801B1E9" w14:textId="77777777" w:rsidR="00D56E03" w:rsidRPr="00343FDF" w:rsidRDefault="00000000">
      <w:pPr>
        <w:spacing w:line="360" w:lineRule="auto"/>
        <w:ind w:firstLine="482"/>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上述两个文件可作为本指南编制较好的基础，本指南在编制过程中将首先分析这两个规范在框架结构、范围、对象、技术要求、编制深度、附件文件内容等方面可借鉴的内容，同时也结合当前形势和需求，分析内容上存在的主要问题，目前来看这两个文件内容存在的问题表现在，</w:t>
      </w:r>
      <w:r w:rsidRPr="00343FDF">
        <w:rPr>
          <w:rFonts w:ascii="仿宋_GB2312" w:eastAsia="仿宋_GB2312" w:hAnsi="仿宋_GB2312" w:cs="仿宋_GB2312" w:hint="eastAsia"/>
          <w:b/>
          <w:bCs/>
          <w:sz w:val="30"/>
          <w:szCs w:val="30"/>
        </w:rPr>
        <w:t>一是</w:t>
      </w:r>
      <w:r w:rsidRPr="00343FDF">
        <w:rPr>
          <w:rFonts w:ascii="仿宋_GB2312" w:eastAsia="仿宋_GB2312" w:hAnsi="仿宋_GB2312" w:cs="仿宋_GB2312" w:hint="eastAsia"/>
          <w:sz w:val="30"/>
          <w:szCs w:val="30"/>
        </w:rPr>
        <w:t>主要针对单一的矿山企业，而当前实际工作中往往问题较多的表现在需要实施连片整治的区域性涉重金属矿区问题，需要从全局性、整体性出发，而非单一的矿山环境污染问题。</w:t>
      </w:r>
      <w:r w:rsidRPr="00343FDF">
        <w:rPr>
          <w:rFonts w:ascii="仿宋_GB2312" w:eastAsia="仿宋_GB2312" w:hAnsi="仿宋_GB2312" w:cs="仿宋_GB2312" w:hint="eastAsia"/>
          <w:b/>
          <w:bCs/>
          <w:sz w:val="30"/>
          <w:szCs w:val="30"/>
        </w:rPr>
        <w:t>二是</w:t>
      </w:r>
      <w:r w:rsidRPr="00343FDF">
        <w:rPr>
          <w:rFonts w:ascii="仿宋_GB2312" w:eastAsia="仿宋_GB2312" w:hAnsi="仿宋_GB2312" w:cs="仿宋_GB2312" w:hint="eastAsia"/>
          <w:sz w:val="30"/>
          <w:szCs w:val="30"/>
        </w:rPr>
        <w:t>目前内容总体来看较为原则，并未对</w:t>
      </w:r>
      <w:r w:rsidRPr="00343FDF">
        <w:rPr>
          <w:rFonts w:ascii="仿宋_GB2312" w:eastAsia="仿宋_GB2312" w:hAnsi="仿宋_GB2312" w:cs="仿宋_GB2312" w:hint="eastAsia"/>
          <w:sz w:val="30"/>
          <w:szCs w:val="30"/>
        </w:rPr>
        <w:lastRenderedPageBreak/>
        <w:t>导则编制过程中相关技术问题的解决思路和技术方法提出的具有操作性的规定，缺乏由于操作性，使得该技术文件的应用和现实意义受到较大的局限。</w:t>
      </w:r>
    </w:p>
    <w:p w14:paraId="04131A40" w14:textId="77777777" w:rsidR="00D56E03" w:rsidRPr="00343FDF" w:rsidRDefault="00000000">
      <w:pPr>
        <w:spacing w:line="360" w:lineRule="auto"/>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2020年3月自然资源部生态修复司印发了《关于加快推进重点区域废弃露天矿山生态修复工作的通知》（自然资生态</w:t>
      </w:r>
      <w:proofErr w:type="gramStart"/>
      <w:r w:rsidRPr="00343FDF">
        <w:rPr>
          <w:rFonts w:ascii="仿宋_GB2312" w:eastAsia="仿宋_GB2312" w:hAnsi="仿宋_GB2312" w:cs="仿宋_GB2312" w:hint="eastAsia"/>
          <w:sz w:val="30"/>
          <w:szCs w:val="30"/>
        </w:rPr>
        <w:t>修复司函</w:t>
      </w:r>
      <w:proofErr w:type="gramEnd"/>
      <w:r w:rsidRPr="00343FDF">
        <w:rPr>
          <w:rFonts w:ascii="仿宋_GB2312" w:eastAsia="仿宋_GB2312" w:hAnsi="仿宋_GB2312" w:cs="仿宋_GB2312" w:hint="eastAsia"/>
          <w:sz w:val="30"/>
          <w:szCs w:val="30"/>
        </w:rPr>
        <w:t>[2020]17号），《通知》指出各地要根据《关于认真做好2020年度中央财政转移支付支持黄河流域重点地区历史遗留矿山生态修复工作的函》（自然资生态</w:t>
      </w:r>
      <w:proofErr w:type="gramStart"/>
      <w:r w:rsidRPr="00343FDF">
        <w:rPr>
          <w:rFonts w:ascii="仿宋_GB2312" w:eastAsia="仿宋_GB2312" w:hAnsi="仿宋_GB2312" w:cs="仿宋_GB2312" w:hint="eastAsia"/>
          <w:sz w:val="30"/>
          <w:szCs w:val="30"/>
        </w:rPr>
        <w:t>修复司函</w:t>
      </w:r>
      <w:proofErr w:type="gramEnd"/>
      <w:r w:rsidRPr="00343FDF">
        <w:rPr>
          <w:rFonts w:ascii="仿宋_GB2312" w:eastAsia="仿宋_GB2312" w:hAnsi="仿宋_GB2312" w:cs="仿宋_GB2312" w:hint="eastAsia"/>
          <w:sz w:val="30"/>
          <w:szCs w:val="30"/>
        </w:rPr>
        <w:t>[2020]7号）下达的修复任务，分解落实项目、完善形成实施方案、按照规定抓紧备案，规范实施方案管理。</w:t>
      </w:r>
    </w:p>
    <w:p w14:paraId="6BE2B694" w14:textId="77777777" w:rsidR="00D56E03" w:rsidRPr="00343FDF" w:rsidRDefault="00000000">
      <w:pPr>
        <w:spacing w:line="360" w:lineRule="auto"/>
        <w:ind w:firstLine="482"/>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2020年生态环境部发布《关于加强丹江口库区及上游历史遗留矿山污染治理和生态修复工作的通知》，以保障南水北调中线工程供水安全为核心，坚持科学治理、系统治理，协同推进历史遗留矿山污染治理和生态修复，着力解决影响</w:t>
      </w:r>
      <w:bookmarkStart w:id="13" w:name="_Hlk52303141"/>
      <w:r w:rsidRPr="00343FDF">
        <w:rPr>
          <w:rFonts w:ascii="仿宋_GB2312" w:eastAsia="仿宋_GB2312" w:hAnsi="仿宋_GB2312" w:cs="仿宋_GB2312" w:hint="eastAsia"/>
          <w:sz w:val="30"/>
          <w:szCs w:val="30"/>
        </w:rPr>
        <w:t>南水北调中线工程水源区水环境质量</w:t>
      </w:r>
      <w:bookmarkEnd w:id="13"/>
      <w:r w:rsidRPr="00343FDF">
        <w:rPr>
          <w:rFonts w:ascii="仿宋_GB2312" w:eastAsia="仿宋_GB2312" w:hAnsi="仿宋_GB2312" w:cs="仿宋_GB2312" w:hint="eastAsia"/>
          <w:sz w:val="30"/>
          <w:szCs w:val="30"/>
        </w:rPr>
        <w:t>的历史遗留矿山环境污染等突出问题，改善区域生态系统服务功能,保障南水北调中线工程水源区水环境质量。该通知中提出了全面摸底排查、有序推进治理和及时总结评估等三个方面的任务要求。遗憾的是该通知中并未明确开展涉重金属历史遗留矿山治理可行性研究报告编制的要求。</w:t>
      </w:r>
    </w:p>
    <w:p w14:paraId="738347D8" w14:textId="77777777" w:rsidR="00D56E03" w:rsidRPr="00343FDF" w:rsidRDefault="00000000">
      <w:pPr>
        <w:spacing w:line="360" w:lineRule="auto"/>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2022年3月，自然资源部发布行业技术规范，技术规范体系由1个通则和6个不同矿山类型的生态修复技术规范组成，主要包括《矿山生态修复技术规范 第1部分：通则》《矿山生态修复</w:t>
      </w:r>
      <w:r w:rsidRPr="00343FDF">
        <w:rPr>
          <w:rFonts w:ascii="仿宋_GB2312" w:eastAsia="仿宋_GB2312" w:hAnsi="仿宋_GB2312" w:cs="仿宋_GB2312" w:hint="eastAsia"/>
          <w:sz w:val="30"/>
          <w:szCs w:val="30"/>
        </w:rPr>
        <w:lastRenderedPageBreak/>
        <w:t>技术规范 第2部分：煤炭矿山》《矿山生态修复技术规范 第3部分：金属矿山》《矿山生态修复技术规范 第4部分：建材矿山》《矿山生态修复技术规范 第5部分：化工矿山》《矿山生态修复技术规范 第6部分：稀土矿山》。技术规范的主要内容包括：基础调查与问题识别、生态修复方案编制、生态修复方案实施、生态修复监测与管护、生态修复成效评估与生态修复信息管理等六个方面以及附录。通过分析后可以看出，自然资源部发布的上述技术规范仍是传统的生态修复的范畴，并没有对矿山环境污染防治相关问题给与关注和覆盖，从山水林田湖草沙是生命共同体角度看，上述技术规范的内容并不完整。</w:t>
      </w:r>
    </w:p>
    <w:p w14:paraId="0E6821E2" w14:textId="77777777" w:rsidR="00D56E03" w:rsidRPr="00343FDF" w:rsidRDefault="00000000">
      <w:pPr>
        <w:spacing w:line="360" w:lineRule="auto"/>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2022年9月，自然资源部组织对《矿山生态修复工程实施方案编制导则》公开征求意见。该文件规定了矿山生态修复工程实施方案编制的总体要求、工作程序、内容要求、成果构成等，适用于政府立项的历史遗留废弃矿山生态修复工程实施方案的编制。其他矿山生态修复工程实施方案的编制可参照执行。该文件提出的实施方案编制工作程序可为本指南编制时参考，该文件正文内容上侧重于对调查评价工作给与了较为详细的阐释，对实施方案编制中相关内容阐释较为简略，同时以附件形式表达了修复工程技术路线和常见方法。该文件可为本可行性研究报告编制提供一定借鉴作用。</w:t>
      </w:r>
    </w:p>
    <w:p w14:paraId="4BE88AAE" w14:textId="77777777" w:rsidR="00D56E03" w:rsidRPr="00343FDF" w:rsidRDefault="00000000">
      <w:pPr>
        <w:spacing w:line="360" w:lineRule="auto"/>
        <w:ind w:firstLineChars="200" w:firstLine="600"/>
        <w:rPr>
          <w:rFonts w:ascii="仿宋" w:eastAsia="仿宋" w:hAnsi="仿宋" w:hint="eastAsia"/>
          <w:sz w:val="30"/>
          <w:szCs w:val="30"/>
        </w:rPr>
      </w:pPr>
      <w:r w:rsidRPr="00343FDF">
        <w:rPr>
          <w:rFonts w:ascii="仿宋_GB2312" w:eastAsia="仿宋_GB2312" w:hAnsi="仿宋_GB2312" w:cs="仿宋_GB2312" w:hint="eastAsia"/>
          <w:sz w:val="30"/>
          <w:szCs w:val="30"/>
        </w:rPr>
        <w:t>通过上述分析后可以看出，总体上当前我国缺乏涉重金属历史遗留矿山治理可行性研究报告编制方面的技术规范与指南性</w:t>
      </w:r>
      <w:r w:rsidRPr="00343FDF">
        <w:rPr>
          <w:rFonts w:ascii="仿宋_GB2312" w:eastAsia="仿宋_GB2312" w:hAnsi="仿宋_GB2312" w:cs="仿宋_GB2312" w:hint="eastAsia"/>
          <w:sz w:val="30"/>
          <w:szCs w:val="30"/>
        </w:rPr>
        <w:lastRenderedPageBreak/>
        <w:t>文件。在相关环境管理政策和制度中也缺乏涉重金属历史遗留矿山治理可行性研究报告编制方面的要求，这对我国“十四五”期间而提出要加快解决一批典型的涉重金属历史遗留矿山污染防治问题、切实改善涉重金属历史遗留矿山生态环境质量、降低金属环境风险等任务的实施不利，亟需在国家和省级层面上明确编制涉重金属历史遗留矿山治理可行性研究报告编制的任务要求。为此加快组织涉重金属历史遗留矿山治理可行性研究报告编制的研究、制定与实践是非常重要和急迫的。</w:t>
      </w:r>
    </w:p>
    <w:p w14:paraId="331D1C2A" w14:textId="77777777" w:rsidR="00D56E03" w:rsidRPr="00343FDF" w:rsidRDefault="00000000">
      <w:pPr>
        <w:pStyle w:val="1"/>
        <w:spacing w:line="240" w:lineRule="auto"/>
        <w:rPr>
          <w:rFonts w:ascii="黑体" w:eastAsia="黑体" w:hAnsi="黑体" w:hint="eastAsia"/>
          <w:sz w:val="32"/>
          <w:szCs w:val="32"/>
        </w:rPr>
      </w:pPr>
      <w:bookmarkStart w:id="14" w:name="_Toc8708"/>
      <w:r w:rsidRPr="00343FDF">
        <w:rPr>
          <w:rFonts w:ascii="黑体" w:eastAsia="黑体" w:hAnsi="黑体" w:hint="eastAsia"/>
          <w:sz w:val="32"/>
          <w:szCs w:val="32"/>
        </w:rPr>
        <w:t>3、主要内容</w:t>
      </w:r>
      <w:bookmarkEnd w:id="14"/>
    </w:p>
    <w:p w14:paraId="7ECE40C2"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15" w:name="_Toc7626"/>
      <w:bookmarkStart w:id="16" w:name="_Toc26381_WPSOffice_Level1"/>
      <w:bookmarkStart w:id="17" w:name="_Toc20314"/>
      <w:r w:rsidRPr="00343FDF">
        <w:rPr>
          <w:rFonts w:ascii="华文楷体" w:eastAsia="华文楷体" w:hAnsi="华文楷体" w:hint="eastAsia"/>
          <w:sz w:val="30"/>
          <w:szCs w:val="30"/>
        </w:rPr>
        <w:t>3.1适用范围</w:t>
      </w:r>
      <w:bookmarkEnd w:id="15"/>
      <w:bookmarkEnd w:id="16"/>
      <w:bookmarkEnd w:id="17"/>
    </w:p>
    <w:p w14:paraId="499759F2" w14:textId="77777777" w:rsidR="00D56E03" w:rsidRPr="00343FDF" w:rsidRDefault="00000000">
      <w:pPr>
        <w:overflowPunct w:val="0"/>
        <w:ind w:firstLineChars="200" w:firstLine="600"/>
        <w:rPr>
          <w:rFonts w:ascii="仿宋_GB2312" w:eastAsia="仿宋_GB2312" w:hAnsi="仿宋_GB2312" w:cs="仿宋_GB2312" w:hint="eastAsia"/>
          <w:sz w:val="30"/>
          <w:szCs w:val="30"/>
        </w:rPr>
      </w:pPr>
      <w:bookmarkStart w:id="18" w:name="_Toc6282"/>
      <w:bookmarkStart w:id="19" w:name="_Toc15148_WPSOffice_Level1"/>
      <w:r w:rsidRPr="00343FDF">
        <w:rPr>
          <w:rFonts w:ascii="仿宋_GB2312" w:eastAsia="仿宋_GB2312" w:hAnsi="仿宋_GB2312" w:cs="仿宋_GB2312" w:hint="eastAsia"/>
          <w:sz w:val="30"/>
          <w:szCs w:val="30"/>
        </w:rPr>
        <w:t>本文件规定了历史遗留矿山环境污染防治可行性研究报告编制的基本原则、一般要求、编制流程及编制内容等。</w:t>
      </w:r>
    </w:p>
    <w:p w14:paraId="4E628256" w14:textId="77777777" w:rsidR="00D56E03" w:rsidRPr="00343FDF" w:rsidRDefault="00000000">
      <w:pPr>
        <w:overflowPunct w:val="0"/>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本文件用于指导技术单位制定涉金属历史遗留矿山环境污染防治实施方案、可行性研究、区域综合整治规划等技术文件时使用，管理部门开展实施方案、可行性研究、整治规划的审批时可参考使用。</w:t>
      </w:r>
    </w:p>
    <w:p w14:paraId="342F0CE3"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20" w:name="_Toc28419"/>
      <w:r w:rsidRPr="00343FDF">
        <w:rPr>
          <w:rFonts w:ascii="华文楷体" w:eastAsia="华文楷体" w:hAnsi="华文楷体" w:hint="eastAsia"/>
          <w:sz w:val="30"/>
          <w:szCs w:val="30"/>
        </w:rPr>
        <w:t>3.2规范性引用文件</w:t>
      </w:r>
      <w:bookmarkEnd w:id="18"/>
      <w:bookmarkEnd w:id="19"/>
      <w:bookmarkEnd w:id="20"/>
    </w:p>
    <w:p w14:paraId="0C0E2CAC" w14:textId="77777777" w:rsidR="00D56E03" w:rsidRPr="00343FDF" w:rsidRDefault="00000000">
      <w:pPr>
        <w:overflowPunct w:val="0"/>
        <w:ind w:firstLineChars="200" w:firstLine="600"/>
        <w:rPr>
          <w:rFonts w:ascii="仿宋_GB2312" w:eastAsia="仿宋_GB2312" w:hAnsi="仿宋_GB2312" w:cs="仿宋_GB2312" w:hint="eastAsia"/>
          <w:sz w:val="30"/>
          <w:szCs w:val="30"/>
        </w:rPr>
      </w:pPr>
      <w:bookmarkStart w:id="21" w:name="OLE_LINK3"/>
      <w:bookmarkStart w:id="22" w:name="_Toc395187805"/>
      <w:bookmarkStart w:id="23" w:name="_Toc18970_WPSOffice_Level1"/>
      <w:bookmarkStart w:id="24" w:name="_Toc1303"/>
      <w:r w:rsidRPr="00343FDF">
        <w:rPr>
          <w:rFonts w:ascii="仿宋_GB2312" w:eastAsia="仿宋_GB2312" w:hAnsi="仿宋_GB2312" w:cs="仿宋_GB2312" w:hint="eastAsia"/>
          <w:sz w:val="30"/>
          <w:szCs w:val="30"/>
        </w:rPr>
        <w:t>下列文件中的内容通过文中的规范性引用而构成本文件必不可少的条款。其中，注日期的引用文件，仅该日期对应的版本适用于本文件；不注日期的引用文件，其最新版本（包括所有的</w:t>
      </w:r>
      <w:r w:rsidRPr="00343FDF">
        <w:rPr>
          <w:rFonts w:ascii="仿宋_GB2312" w:eastAsia="仿宋_GB2312" w:hAnsi="仿宋_GB2312" w:cs="仿宋_GB2312" w:hint="eastAsia"/>
          <w:sz w:val="30"/>
          <w:szCs w:val="30"/>
        </w:rPr>
        <w:lastRenderedPageBreak/>
        <w:t>修改单）适用于本文件。</w:t>
      </w:r>
    </w:p>
    <w:p w14:paraId="16D46B8C" w14:textId="77777777" w:rsidR="00D56E03" w:rsidRPr="00343FDF" w:rsidRDefault="00000000">
      <w:pPr>
        <w:overflowPunct w:val="0"/>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DB 61/T××××.1《涉重金属矿山环境污染防治技术指南》的第1部分：总体要求；</w:t>
      </w:r>
    </w:p>
    <w:p w14:paraId="6E2EA203" w14:textId="77777777" w:rsidR="00D56E03" w:rsidRPr="00343FDF" w:rsidRDefault="00000000">
      <w:pPr>
        <w:overflowPunct w:val="0"/>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DB 61/T××××.2《涉重金属矿山环境污染防治技术指南》的第2部分：调查评价；</w:t>
      </w:r>
    </w:p>
    <w:p w14:paraId="0E0A4A39" w14:textId="77777777" w:rsidR="00D56E03" w:rsidRPr="00343FDF" w:rsidRDefault="00000000">
      <w:pPr>
        <w:overflowPunct w:val="0"/>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DB 61/T××××.3《涉重金属矿山环境污染防治技术指南》的第3部分：监测；</w:t>
      </w:r>
    </w:p>
    <w:p w14:paraId="3BCE2D5F" w14:textId="77777777" w:rsidR="00D56E03" w:rsidRPr="00343FDF" w:rsidRDefault="00000000">
      <w:pPr>
        <w:overflowPunct w:val="0"/>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DB 61/T××××.4《涉重金属矿山环境污染防治技术指南》的第4部分：分区风险评估及防控。</w:t>
      </w:r>
    </w:p>
    <w:p w14:paraId="6FAF65FB"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25" w:name="_Toc2617"/>
      <w:bookmarkEnd w:id="21"/>
      <w:r w:rsidRPr="00343FDF">
        <w:rPr>
          <w:rFonts w:ascii="华文楷体" w:eastAsia="华文楷体" w:hAnsi="华文楷体" w:hint="eastAsia"/>
          <w:sz w:val="30"/>
          <w:szCs w:val="30"/>
        </w:rPr>
        <w:t>3.3术语和定义</w:t>
      </w:r>
      <w:bookmarkEnd w:id="22"/>
      <w:bookmarkEnd w:id="23"/>
      <w:bookmarkEnd w:id="24"/>
      <w:bookmarkEnd w:id="25"/>
    </w:p>
    <w:p w14:paraId="36E85189" w14:textId="77777777" w:rsidR="00D56E03" w:rsidRPr="00343FDF" w:rsidRDefault="00000000">
      <w:pPr>
        <w:overflowPunct w:val="0"/>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DB 61/T××××.1《涉重金属矿山环境污染防治技术指南》的第1部分：总体要求中界定的术语适用于本文件。</w:t>
      </w:r>
    </w:p>
    <w:p w14:paraId="098CB849"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26" w:name="_Toc28509_WPSOffice_Level1"/>
      <w:bookmarkStart w:id="27" w:name="_Toc13941"/>
      <w:r w:rsidRPr="00343FDF">
        <w:rPr>
          <w:rFonts w:ascii="华文楷体" w:eastAsia="华文楷体" w:hAnsi="华文楷体" w:hint="eastAsia"/>
          <w:sz w:val="30"/>
          <w:szCs w:val="30"/>
        </w:rPr>
        <w:t>3.4一般要求</w:t>
      </w:r>
      <w:bookmarkEnd w:id="26"/>
      <w:bookmarkEnd w:id="27"/>
    </w:p>
    <w:p w14:paraId="76866EE1" w14:textId="77777777" w:rsidR="00D56E03" w:rsidRPr="00343FDF" w:rsidRDefault="00000000">
      <w:pPr>
        <w:ind w:firstLineChars="200" w:firstLine="600"/>
        <w:rPr>
          <w:rFonts w:ascii="仿宋_GB2312" w:eastAsia="仿宋_GB2312" w:hAnsi="仿宋_GB2312" w:cs="仿宋_GB2312" w:hint="eastAsia"/>
          <w:sz w:val="30"/>
          <w:szCs w:val="30"/>
        </w:rPr>
      </w:pPr>
      <w:bookmarkStart w:id="28" w:name="_Toc28067_WPSOffice_Level1"/>
      <w:r w:rsidRPr="00343FDF">
        <w:rPr>
          <w:rFonts w:ascii="仿宋_GB2312" w:eastAsia="仿宋_GB2312" w:hAnsi="仿宋_GB2312" w:cs="仿宋_GB2312" w:hint="eastAsia"/>
          <w:sz w:val="30"/>
          <w:szCs w:val="30"/>
        </w:rPr>
        <w:t>可行性研究报告的基本任务是对新建或改扩建环境工程，从技术经济角度进行全面的分析研究，并对其投产后的污染治理及环境保护效果进行预测，在既定的范围内进行方案论证的选择，以便更合理地利用资源，达到预定的环境保护、社会和经济效益。</w:t>
      </w:r>
    </w:p>
    <w:p w14:paraId="1E58ADF1"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可行性研究报告通过对项目有关的工程、技术、环境、经济及社会效益等方面条件和情况进行调查、研究、分析，对工程的建设必要性、技术可行性、规模、厂(</w:t>
      </w:r>
      <w:proofErr w:type="gramStart"/>
      <w:r w:rsidRPr="00343FDF">
        <w:rPr>
          <w:rFonts w:ascii="仿宋_GB2312" w:eastAsia="仿宋_GB2312" w:hAnsi="仿宋_GB2312" w:cs="仿宋_GB2312" w:hint="eastAsia"/>
          <w:sz w:val="30"/>
          <w:szCs w:val="30"/>
        </w:rPr>
        <w:t>场)址和</w:t>
      </w:r>
      <w:proofErr w:type="gramEnd"/>
      <w:r w:rsidRPr="00343FDF">
        <w:rPr>
          <w:rFonts w:ascii="仿宋_GB2312" w:eastAsia="仿宋_GB2312" w:hAnsi="仿宋_GB2312" w:cs="仿宋_GB2312" w:hint="eastAsia"/>
          <w:sz w:val="30"/>
          <w:szCs w:val="30"/>
        </w:rPr>
        <w:t>经济可行性、合理性，在多方案分析的基础上进行综合比较和评价，并推荐工程建</w:t>
      </w:r>
      <w:r w:rsidRPr="00343FDF">
        <w:rPr>
          <w:rFonts w:ascii="仿宋_GB2312" w:eastAsia="仿宋_GB2312" w:hAnsi="仿宋_GB2312" w:cs="仿宋_GB2312" w:hint="eastAsia"/>
          <w:sz w:val="30"/>
          <w:szCs w:val="30"/>
        </w:rPr>
        <w:lastRenderedPageBreak/>
        <w:t>设方案。</w:t>
      </w:r>
    </w:p>
    <w:p w14:paraId="4B15C84C"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可行性研究报告应满足环境工程项目立项、编制工程初步设计文件以及环境工程用地征用范围的需要。</w:t>
      </w:r>
    </w:p>
    <w:p w14:paraId="1DB1EBF8"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29" w:name="_Toc13012"/>
      <w:r w:rsidRPr="00343FDF">
        <w:rPr>
          <w:rFonts w:ascii="华文楷体" w:eastAsia="华文楷体" w:hAnsi="华文楷体" w:hint="eastAsia"/>
          <w:sz w:val="30"/>
          <w:szCs w:val="30"/>
        </w:rPr>
        <w:t>3.5</w:t>
      </w:r>
      <w:bookmarkEnd w:id="28"/>
      <w:r w:rsidRPr="00343FDF">
        <w:rPr>
          <w:rFonts w:ascii="华文楷体" w:eastAsia="华文楷体" w:hAnsi="华文楷体" w:hint="eastAsia"/>
          <w:sz w:val="30"/>
          <w:szCs w:val="30"/>
        </w:rPr>
        <w:t>资料收集</w:t>
      </w:r>
      <w:bookmarkEnd w:id="29"/>
    </w:p>
    <w:p w14:paraId="4DB65333"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3.5.1　区域社会基础资料</w:t>
      </w:r>
    </w:p>
    <w:p w14:paraId="66A297A7"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收集项目所在区域的行政区划、人口规模、矿山数量、产业结构、区域经济发展规划等资料。</w:t>
      </w:r>
    </w:p>
    <w:p w14:paraId="06A0D07E"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3.5.2　区域环境资料</w:t>
      </w:r>
    </w:p>
    <w:p w14:paraId="626B17AF"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收集项目所在区域的气象与气候资料、地形地貌、水文地质资料、河流水系等资料。</w:t>
      </w:r>
    </w:p>
    <w:p w14:paraId="41789154"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3.5.3　矿区历史资料</w:t>
      </w:r>
    </w:p>
    <w:p w14:paraId="496C2DEA"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收集项目涉及的矿区规划、矿山环境影响评价报告，排</w:t>
      </w:r>
      <w:proofErr w:type="gramStart"/>
      <w:r w:rsidRPr="00343FDF">
        <w:rPr>
          <w:rFonts w:ascii="仿宋_GB2312" w:eastAsia="仿宋_GB2312" w:hAnsi="仿宋_GB2312" w:cs="仿宋_GB2312" w:hint="eastAsia"/>
          <w:sz w:val="30"/>
          <w:szCs w:val="30"/>
        </w:rPr>
        <w:t>矸</w:t>
      </w:r>
      <w:proofErr w:type="gramEnd"/>
      <w:r w:rsidRPr="00343FDF">
        <w:rPr>
          <w:rFonts w:ascii="仿宋_GB2312" w:eastAsia="仿宋_GB2312" w:hAnsi="仿宋_GB2312" w:cs="仿宋_GB2312" w:hint="eastAsia"/>
          <w:sz w:val="30"/>
          <w:szCs w:val="30"/>
        </w:rPr>
        <w:t>场、排土场、尾矿库等设计文件；矿山勘查资料、矿山闭坑地质报告、水文地质勘察报告、矿山开发利用方案、矿山储量核实报告、矿山地质环境保护与恢复治理方案、矿山土地复垦方案及关于生产、停产、关闭等政府性相关文件、矿区历史卫星图等资料。</w:t>
      </w:r>
    </w:p>
    <w:p w14:paraId="562A4126"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3.5.4　污染状况资料</w:t>
      </w:r>
    </w:p>
    <w:p w14:paraId="2E123229"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收集项目所在区域农用地土壤污染状况详查成果，国家和地方土壤、地表水、地下水环境监测数据、矿山委托第三方环境监测数据、重点行业企业用地调查、第二次全国污染源普查等数据与资料。</w:t>
      </w:r>
    </w:p>
    <w:p w14:paraId="0B1B2331"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3.5.5　其他资料</w:t>
      </w:r>
    </w:p>
    <w:p w14:paraId="2B21CF8A"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lastRenderedPageBreak/>
        <w:t>收集项目所在区域生态保护红线、水源保护等资料。</w:t>
      </w:r>
    </w:p>
    <w:p w14:paraId="4B23B893" w14:textId="77777777" w:rsidR="00D56E03" w:rsidRPr="00343FDF" w:rsidRDefault="00000000">
      <w:pPr>
        <w:pStyle w:val="2"/>
        <w:spacing w:before="120" w:after="120" w:line="240" w:lineRule="auto"/>
        <w:rPr>
          <w:rFonts w:ascii="华文楷体" w:eastAsia="华文楷体" w:hAnsi="华文楷体" w:hint="eastAsia"/>
          <w:sz w:val="30"/>
          <w:szCs w:val="30"/>
        </w:rPr>
      </w:pPr>
      <w:bookmarkStart w:id="30" w:name="_Toc15381_WPSOffice_Level1"/>
      <w:bookmarkStart w:id="31" w:name="_Toc2671"/>
      <w:bookmarkStart w:id="32" w:name="_Toc57806836"/>
      <w:bookmarkStart w:id="33" w:name="_Toc60322203"/>
      <w:r w:rsidRPr="00343FDF">
        <w:rPr>
          <w:rFonts w:ascii="华文楷体" w:eastAsia="华文楷体" w:hAnsi="华文楷体" w:hint="eastAsia"/>
          <w:sz w:val="30"/>
          <w:szCs w:val="30"/>
        </w:rPr>
        <w:t>3.6编制内容</w:t>
      </w:r>
      <w:bookmarkEnd w:id="30"/>
      <w:bookmarkEnd w:id="31"/>
    </w:p>
    <w:p w14:paraId="346CB845" w14:textId="77777777" w:rsidR="00D56E03" w:rsidRPr="00343FDF" w:rsidRDefault="00000000">
      <w:pPr>
        <w:rPr>
          <w:rFonts w:ascii="仿宋_GB2312" w:eastAsia="仿宋_GB2312" w:hAnsi="仿宋_GB2312" w:cs="仿宋_GB2312" w:hint="eastAsia"/>
          <w:sz w:val="30"/>
          <w:szCs w:val="30"/>
        </w:rPr>
      </w:pPr>
      <w:bookmarkStart w:id="34" w:name="_Toc10286"/>
      <w:bookmarkStart w:id="35" w:name="_Toc60322211"/>
      <w:bookmarkStart w:id="36" w:name="_Toc57806840"/>
      <w:bookmarkEnd w:id="32"/>
      <w:bookmarkEnd w:id="33"/>
      <w:r w:rsidRPr="00343FDF">
        <w:rPr>
          <w:rFonts w:ascii="仿宋_GB2312" w:eastAsia="仿宋_GB2312" w:hAnsi="仿宋_GB2312" w:cs="仿宋_GB2312" w:hint="eastAsia"/>
          <w:sz w:val="30"/>
          <w:szCs w:val="30"/>
        </w:rPr>
        <w:t>3.6.1　项目概况</w:t>
      </w:r>
    </w:p>
    <w:p w14:paraId="49E5F2E0"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项目全称及简介。概述项目背景与来源、项目建设的紧迫性和重要性、污染防治范围和污染防治对象、污染防治工作的定位、主要工作内容、结论和建议。报告编制的法律法规、标准、规范、相关规划依据等。</w:t>
      </w:r>
    </w:p>
    <w:p w14:paraId="15A363FA" w14:textId="77777777" w:rsidR="00D56E03" w:rsidRPr="00343FDF" w:rsidRDefault="00000000">
      <w:pPr>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3.6.2　区域经济社会和环境概况</w:t>
      </w:r>
    </w:p>
    <w:p w14:paraId="383F372D"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描述地理区位与经济社会概况、区域自然与环境状况、矿区地质环境状况和矿区及周边敏感对象。</w:t>
      </w:r>
    </w:p>
    <w:p w14:paraId="6C348C84" w14:textId="77777777" w:rsidR="00D56E03" w:rsidRPr="00343FDF" w:rsidRDefault="00000000">
      <w:pPr>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3.6.3　矿产资源开发和利用现状</w:t>
      </w:r>
    </w:p>
    <w:p w14:paraId="36FF959F"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描述矿产资源类型及分布、矿产开发历史与现状。阐明矿山生态环境治理历程，分析阶段性成效。</w:t>
      </w:r>
    </w:p>
    <w:p w14:paraId="061BBD5F" w14:textId="77777777" w:rsidR="00D56E03" w:rsidRPr="00343FDF" w:rsidRDefault="00000000">
      <w:pPr>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3.6.4 调查与评估</w:t>
      </w:r>
    </w:p>
    <w:p w14:paraId="713C995C"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3.6.4.1基础性调查</w:t>
      </w:r>
    </w:p>
    <w:p w14:paraId="3CD452F0"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矿山基本概况，行政区划、土地利用、地形地貌、水文地质、区域生态环境现状、社会经济等信息。见附录A。</w:t>
      </w:r>
    </w:p>
    <w:p w14:paraId="387E860C"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6.4.2　生态环境污染调查评估</w:t>
      </w:r>
    </w:p>
    <w:p w14:paraId="68E9516D"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1）</w:t>
      </w:r>
      <w:r w:rsidRPr="00343FDF">
        <w:rPr>
          <w:rFonts w:ascii="仿宋_GB2312" w:eastAsia="仿宋_GB2312" w:hAnsi="仿宋_GB2312" w:cs="仿宋_GB2312"/>
          <w:sz w:val="30"/>
          <w:szCs w:val="30"/>
        </w:rPr>
        <w:t>参照 DB 61/T××××.2和DB 61/T××××.3，开展矿</w:t>
      </w:r>
      <w:proofErr w:type="gramStart"/>
      <w:r w:rsidRPr="00343FDF">
        <w:rPr>
          <w:rFonts w:ascii="仿宋_GB2312" w:eastAsia="仿宋_GB2312" w:hAnsi="仿宋_GB2312" w:cs="仿宋_GB2312"/>
          <w:sz w:val="30"/>
          <w:szCs w:val="30"/>
        </w:rPr>
        <w:t>硐</w:t>
      </w:r>
      <w:proofErr w:type="gramEnd"/>
      <w:r w:rsidRPr="00343FDF">
        <w:rPr>
          <w:rFonts w:ascii="仿宋_GB2312" w:eastAsia="仿宋_GB2312" w:hAnsi="仿宋_GB2312" w:cs="仿宋_GB2312"/>
          <w:sz w:val="30"/>
          <w:szCs w:val="30"/>
        </w:rPr>
        <w:t>和废渣堆等污染源调查，明确矿</w:t>
      </w:r>
      <w:proofErr w:type="gramStart"/>
      <w:r w:rsidRPr="00343FDF">
        <w:rPr>
          <w:rFonts w:ascii="仿宋_GB2312" w:eastAsia="仿宋_GB2312" w:hAnsi="仿宋_GB2312" w:cs="仿宋_GB2312"/>
          <w:sz w:val="30"/>
          <w:szCs w:val="30"/>
        </w:rPr>
        <w:t>硐</w:t>
      </w:r>
      <w:proofErr w:type="gramEnd"/>
      <w:r w:rsidRPr="00343FDF">
        <w:rPr>
          <w:rFonts w:ascii="仿宋_GB2312" w:eastAsia="仿宋_GB2312" w:hAnsi="仿宋_GB2312" w:cs="仿宋_GB2312"/>
          <w:sz w:val="30"/>
          <w:szCs w:val="30"/>
        </w:rPr>
        <w:t>基本情况、废渣</w:t>
      </w:r>
      <w:proofErr w:type="gramStart"/>
      <w:r w:rsidRPr="00343FDF">
        <w:rPr>
          <w:rFonts w:ascii="仿宋_GB2312" w:eastAsia="仿宋_GB2312" w:hAnsi="仿宋_GB2312" w:cs="仿宋_GB2312"/>
          <w:sz w:val="30"/>
          <w:szCs w:val="30"/>
        </w:rPr>
        <w:t>堆基本</w:t>
      </w:r>
      <w:proofErr w:type="gramEnd"/>
      <w:r w:rsidRPr="00343FDF">
        <w:rPr>
          <w:rFonts w:ascii="仿宋_GB2312" w:eastAsia="仿宋_GB2312" w:hAnsi="仿宋_GB2312" w:cs="仿宋_GB2312"/>
          <w:sz w:val="30"/>
          <w:szCs w:val="30"/>
        </w:rPr>
        <w:t>情况、废水、地表水、地下水、底泥、土壤、农作物等调查结果及环境介质重金属污染分布特征。</w:t>
      </w:r>
    </w:p>
    <w:p w14:paraId="59E59EFC"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lastRenderedPageBreak/>
        <w:t>b）</w:t>
      </w:r>
      <w:r w:rsidRPr="00343FDF">
        <w:rPr>
          <w:rFonts w:ascii="仿宋_GB2312" w:eastAsia="仿宋_GB2312" w:hAnsi="仿宋_GB2312" w:cs="仿宋_GB2312"/>
          <w:sz w:val="30"/>
          <w:szCs w:val="30"/>
        </w:rPr>
        <w:t>查明区域生态环境破坏情况，分析污染源对水土环境及敏感目标的影响，识别矿区主要生态环境问题。</w:t>
      </w:r>
    </w:p>
    <w:p w14:paraId="591101F6"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6.5　风险分区和评价</w:t>
      </w:r>
    </w:p>
    <w:p w14:paraId="7C852117"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3.6.5.1</w:t>
      </w:r>
      <w:r w:rsidRPr="00343FDF">
        <w:rPr>
          <w:rFonts w:ascii="仿宋_GB2312" w:eastAsia="仿宋_GB2312" w:hAnsi="仿宋_GB2312" w:cs="仿宋_GB2312"/>
          <w:sz w:val="30"/>
          <w:szCs w:val="30"/>
        </w:rPr>
        <w:t>参照 DB 61/T××××.4，将矿区污染防治范围根据风险的高低划定为不同的区域，包括高风险区域、中风险区域和低风险区域。或以矿点为单元，对不同矿点的风险高低进行评价。</w:t>
      </w:r>
    </w:p>
    <w:p w14:paraId="1A5370AF"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3.6.5.2</w:t>
      </w:r>
      <w:r w:rsidRPr="00343FDF">
        <w:rPr>
          <w:rFonts w:ascii="仿宋_GB2312" w:eastAsia="仿宋_GB2312" w:hAnsi="仿宋_GB2312" w:cs="仿宋_GB2312"/>
          <w:sz w:val="30"/>
          <w:szCs w:val="30"/>
        </w:rPr>
        <w:t>以划定的风险区域或者矿点为单元，开展不同风险区域（或者矿点）的污染防治技术方案的设计。</w:t>
      </w:r>
    </w:p>
    <w:p w14:paraId="0E16B0D6" w14:textId="77777777" w:rsidR="00D56E03" w:rsidRPr="00343FDF" w:rsidRDefault="00000000">
      <w:pPr>
        <w:pStyle w:val="a1"/>
        <w:ind w:firstLine="3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6.6　污染防治思路和目标</w:t>
      </w:r>
    </w:p>
    <w:p w14:paraId="178AAB41" w14:textId="77777777" w:rsidR="00D56E03" w:rsidRPr="00343FDF" w:rsidRDefault="00000000">
      <w:pPr>
        <w:pStyle w:val="a1"/>
        <w:ind w:firstLine="3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6.6.1　防治思路</w:t>
      </w:r>
    </w:p>
    <w:p w14:paraId="3DD8A837"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在分区基础上，提出涉金属矿山污染防治的指导思想、主要原则、分区防控策略等，形成较为完整和系统的区域污染防治总体思路体系。</w:t>
      </w:r>
    </w:p>
    <w:p w14:paraId="3BBA2A63" w14:textId="77777777" w:rsidR="00D56E03" w:rsidRPr="00343FDF" w:rsidRDefault="00000000">
      <w:pPr>
        <w:pStyle w:val="a1"/>
        <w:ind w:firstLine="3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6.6.2　确定目标</w:t>
      </w:r>
    </w:p>
    <w:p w14:paraId="6FF8DAB9"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考虑水质污染现状、常见工程技术措施对特征污染源的整治效果、水质风险管控和达标控制等因素，综合确定整体区域与</w:t>
      </w:r>
      <w:proofErr w:type="gramStart"/>
      <w:r w:rsidRPr="00343FDF">
        <w:rPr>
          <w:rFonts w:ascii="仿宋_GB2312" w:eastAsia="仿宋_GB2312" w:hAnsi="仿宋_GB2312" w:cs="仿宋_GB2312"/>
          <w:sz w:val="30"/>
          <w:szCs w:val="30"/>
        </w:rPr>
        <w:t>各风险</w:t>
      </w:r>
      <w:proofErr w:type="gramEnd"/>
      <w:r w:rsidRPr="00343FDF">
        <w:rPr>
          <w:rFonts w:ascii="仿宋_GB2312" w:eastAsia="仿宋_GB2312" w:hAnsi="仿宋_GB2312" w:cs="仿宋_GB2312"/>
          <w:sz w:val="30"/>
          <w:szCs w:val="30"/>
        </w:rPr>
        <w:t>区域的污染防治目标。</w:t>
      </w:r>
    </w:p>
    <w:p w14:paraId="38EBE557" w14:textId="77777777" w:rsidR="00D56E03" w:rsidRPr="00343FDF" w:rsidRDefault="00000000">
      <w:pPr>
        <w:pStyle w:val="a1"/>
        <w:ind w:firstLine="3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6.6.3　指标确定</w:t>
      </w:r>
    </w:p>
    <w:p w14:paraId="4CCA1771"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重金属特征污染物达标或者风险降低、环境监管能力建设等。</w:t>
      </w:r>
    </w:p>
    <w:p w14:paraId="7FF225E9"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6.7　工程选址和要素保障</w:t>
      </w:r>
    </w:p>
    <w:p w14:paraId="07A55003"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6.7.1　工程选址</w:t>
      </w:r>
    </w:p>
    <w:p w14:paraId="6BFB3A03"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lastRenderedPageBreak/>
        <w:t>依据工程项目方案，选择项目最佳或合理的场址或线路方案。</w:t>
      </w:r>
    </w:p>
    <w:p w14:paraId="1FED6467"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6.7.2　项目建设条件</w:t>
      </w:r>
    </w:p>
    <w:p w14:paraId="713178B0"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分析拟建工程所在区域的自然环境、交通运输、公用工程等建设条件。阐述施工条件、生活配套设施和公共服务依托条件等。</w:t>
      </w:r>
    </w:p>
    <w:p w14:paraId="11EFFDC3"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6.7.3　 要素保障分析</w:t>
      </w:r>
    </w:p>
    <w:p w14:paraId="3EE6E533"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依据工程建设方案，明确土地和资源要素保障情况。</w:t>
      </w:r>
    </w:p>
    <w:p w14:paraId="3AF3BAAE"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6.7.4　环境可行性分析</w:t>
      </w:r>
    </w:p>
    <w:p w14:paraId="334D874B"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a）</w:t>
      </w:r>
      <w:r w:rsidRPr="00343FDF">
        <w:rPr>
          <w:rFonts w:ascii="仿宋_GB2312" w:eastAsia="仿宋_GB2312" w:hAnsi="仿宋_GB2312" w:cs="仿宋_GB2312"/>
          <w:sz w:val="30"/>
          <w:szCs w:val="30"/>
        </w:rPr>
        <w:t>对项目实施过程中可能对环境造成的影响进行评估的过程。分析内容涵盖项目对空气、水、土壤、生物多样性等环境要素的影响。</w:t>
      </w:r>
    </w:p>
    <w:p w14:paraId="404C192B"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b）</w:t>
      </w:r>
      <w:r w:rsidRPr="00343FDF">
        <w:rPr>
          <w:rFonts w:ascii="仿宋_GB2312" w:eastAsia="仿宋_GB2312" w:hAnsi="仿宋_GB2312" w:cs="仿宋_GB2312"/>
          <w:sz w:val="30"/>
          <w:szCs w:val="30"/>
        </w:rPr>
        <w:t>评估项目在建设期和运营期可能产生的环境污染和生态破坏，确保项目在实施过程中对环境的影响降至最低。</w:t>
      </w:r>
    </w:p>
    <w:p w14:paraId="426E670E"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　污染防治工程技术方案</w:t>
      </w:r>
    </w:p>
    <w:p w14:paraId="20745529"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6.8.1　工程技术方案</w:t>
      </w:r>
    </w:p>
    <w:p w14:paraId="29F3CDE7"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结合不同风险区域单元（分区或者矿点）污染防治技术，制定可操作性强的污染防治技术方案。</w:t>
      </w:r>
    </w:p>
    <w:p w14:paraId="092EDFC0"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6.8.2　工程项目类型</w:t>
      </w:r>
    </w:p>
    <w:p w14:paraId="664A9181"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结合污染防治技术方案，确定工程项目的不同类型。工程项目类型包括废弃矿</w:t>
      </w:r>
      <w:proofErr w:type="gramStart"/>
      <w:r w:rsidRPr="00343FDF">
        <w:rPr>
          <w:rFonts w:ascii="仿宋_GB2312" w:eastAsia="仿宋_GB2312" w:hAnsi="仿宋_GB2312" w:cs="仿宋_GB2312"/>
          <w:sz w:val="30"/>
          <w:szCs w:val="30"/>
        </w:rPr>
        <w:t>硐</w:t>
      </w:r>
      <w:proofErr w:type="gramEnd"/>
      <w:r w:rsidRPr="00343FDF">
        <w:rPr>
          <w:rFonts w:ascii="仿宋_GB2312" w:eastAsia="仿宋_GB2312" w:hAnsi="仿宋_GB2312" w:cs="仿宋_GB2312"/>
          <w:sz w:val="30"/>
          <w:szCs w:val="30"/>
        </w:rPr>
        <w:t>整治工程、废渣整治工程、河道整治工程、地下水整治工程、土壤风险防控工程、分析监测能力提升工程、环境跟踪监测评估工程、示范工程、数字化工程等。</w:t>
      </w:r>
    </w:p>
    <w:p w14:paraId="55BCEA03"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6.8.3　矿山环境污染防治技术方法比选</w:t>
      </w:r>
    </w:p>
    <w:p w14:paraId="4B6A615C"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lastRenderedPageBreak/>
        <w:t>a）</w:t>
      </w:r>
      <w:r w:rsidRPr="00343FDF">
        <w:rPr>
          <w:rFonts w:ascii="仿宋_GB2312" w:eastAsia="仿宋_GB2312" w:hAnsi="仿宋_GB2312" w:cs="仿宋_GB2312"/>
          <w:sz w:val="30"/>
          <w:szCs w:val="30"/>
        </w:rPr>
        <w:t>矿山环境污染防治技术方法的比选与确定，包括但不限于矿</w:t>
      </w:r>
      <w:proofErr w:type="gramStart"/>
      <w:r w:rsidRPr="00343FDF">
        <w:rPr>
          <w:rFonts w:ascii="仿宋_GB2312" w:eastAsia="仿宋_GB2312" w:hAnsi="仿宋_GB2312" w:cs="仿宋_GB2312"/>
          <w:sz w:val="30"/>
          <w:szCs w:val="30"/>
        </w:rPr>
        <w:t>硐</w:t>
      </w:r>
      <w:proofErr w:type="gramEnd"/>
      <w:r w:rsidRPr="00343FDF">
        <w:rPr>
          <w:rFonts w:ascii="仿宋_GB2312" w:eastAsia="仿宋_GB2312" w:hAnsi="仿宋_GB2312" w:cs="仿宋_GB2312"/>
          <w:sz w:val="30"/>
          <w:szCs w:val="30"/>
        </w:rPr>
        <w:t>、废渣堆、废水等污染防治技术的比选与确定。从技术可行性、环境安全性、进度可控性和成本经济性进行技术方案比选。</w:t>
      </w:r>
    </w:p>
    <w:p w14:paraId="4B25F251"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b）</w:t>
      </w:r>
      <w:r w:rsidRPr="00343FDF">
        <w:rPr>
          <w:rFonts w:ascii="仿宋_GB2312" w:eastAsia="仿宋_GB2312" w:hAnsi="仿宋_GB2312" w:cs="仿宋_GB2312"/>
          <w:sz w:val="30"/>
          <w:szCs w:val="30"/>
        </w:rPr>
        <w:t>可对比选择使用附录</w:t>
      </w:r>
      <w:r w:rsidRPr="00343FDF">
        <w:rPr>
          <w:rFonts w:ascii="仿宋_GB2312" w:eastAsia="仿宋_GB2312" w:hAnsi="仿宋_GB2312" w:cs="仿宋_GB2312" w:hint="eastAsia"/>
          <w:sz w:val="30"/>
          <w:szCs w:val="30"/>
        </w:rPr>
        <w:t>A</w:t>
      </w:r>
      <w:r w:rsidRPr="00343FDF">
        <w:rPr>
          <w:rFonts w:ascii="仿宋_GB2312" w:eastAsia="仿宋_GB2312" w:hAnsi="仿宋_GB2312" w:cs="仿宋_GB2312"/>
          <w:sz w:val="30"/>
          <w:szCs w:val="30"/>
        </w:rPr>
        <w:t>列出的一些常见矿山污染防治技术方法。</w:t>
      </w:r>
    </w:p>
    <w:p w14:paraId="09CDFCD9"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6.8.4　工程方案</w:t>
      </w:r>
    </w:p>
    <w:p w14:paraId="3E69C821"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通过方案比选开展每个项目的名称、建设内容、地点、建设规模、技术路线等内容的设计。细化不同类型的污染防治工程建设标准、工程总体布置、主要工程设计方案、外部运输方案、公用工程方案及其他配套设施方案。</w:t>
      </w:r>
    </w:p>
    <w:p w14:paraId="7B2F75C6"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6.8.5　建设实施计划</w:t>
      </w:r>
    </w:p>
    <w:p w14:paraId="66C61A53"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结合解决问题的轻重缓急、支撑污染防治目标指标实现的需要等，提出项目建设工期，对项目建设主要时间节点做出时序性安排。涉及分期建设项目，确定工程项目分期实施计划。</w:t>
      </w:r>
    </w:p>
    <w:p w14:paraId="58ECC37C"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6.8.6　建设管理方案</w:t>
      </w:r>
    </w:p>
    <w:p w14:paraId="0E144404"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提出项目建设组织模式和机构设置，制定质量、安全管理方案和验收标准，明确建设质量和安全管理目标及要求，研究提出拟采用的建设管理模式。</w:t>
      </w:r>
    </w:p>
    <w:p w14:paraId="3A820A5F"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6.8.7　施工组织方案</w:t>
      </w:r>
    </w:p>
    <w:p w14:paraId="29D4ABD7"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研究项目组织机构设置方案、人力资源配置方案、员工培训需求及计划，提出项目在合</w:t>
      </w:r>
      <w:proofErr w:type="gramStart"/>
      <w:r w:rsidRPr="00343FDF">
        <w:rPr>
          <w:rFonts w:ascii="仿宋_GB2312" w:eastAsia="仿宋_GB2312" w:hAnsi="仿宋_GB2312" w:cs="仿宋_GB2312"/>
          <w:sz w:val="30"/>
          <w:szCs w:val="30"/>
        </w:rPr>
        <w:t>规</w:t>
      </w:r>
      <w:proofErr w:type="gramEnd"/>
      <w:r w:rsidRPr="00343FDF">
        <w:rPr>
          <w:rFonts w:ascii="仿宋_GB2312" w:eastAsia="仿宋_GB2312" w:hAnsi="仿宋_GB2312" w:cs="仿宋_GB2312"/>
          <w:sz w:val="30"/>
          <w:szCs w:val="30"/>
        </w:rPr>
        <w:t>管理、防治体系优化和信息披露等方面的措施。</w:t>
      </w:r>
    </w:p>
    <w:p w14:paraId="5ED11BF7"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lastRenderedPageBreak/>
        <w:t>3.</w:t>
      </w:r>
      <w:r w:rsidRPr="00343FDF">
        <w:rPr>
          <w:rFonts w:ascii="仿宋_GB2312" w:eastAsia="仿宋_GB2312" w:hAnsi="仿宋_GB2312" w:cs="仿宋_GB2312"/>
          <w:sz w:val="30"/>
          <w:szCs w:val="30"/>
        </w:rPr>
        <w:t>6.8.8　工程投资测算依据及标准</w:t>
      </w:r>
    </w:p>
    <w:p w14:paraId="172AA9CD"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根据工程内容，说明污染防治工程投资测算编制范围、编制依据和计费方法等。</w:t>
      </w:r>
    </w:p>
    <w:p w14:paraId="5AC0D37F"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6.8.9　工程投资测算及分析</w:t>
      </w:r>
    </w:p>
    <w:p w14:paraId="327E878E"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按照投资计算依据和方法，对不同类型项目的总投资进行估算，明确建设期内分年度投资计划。对投资构成进行一定的分析，包括不同类型项目投资的比例等。</w:t>
      </w:r>
    </w:p>
    <w:p w14:paraId="3B2312F3"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6.8.10　资金筹集</w:t>
      </w:r>
    </w:p>
    <w:p w14:paraId="4B9ACF3D"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a）</w:t>
      </w:r>
      <w:r w:rsidRPr="00343FDF">
        <w:rPr>
          <w:rFonts w:ascii="仿宋_GB2312" w:eastAsia="仿宋_GB2312" w:hAnsi="仿宋_GB2312" w:cs="仿宋_GB2312"/>
          <w:sz w:val="30"/>
          <w:szCs w:val="30"/>
        </w:rPr>
        <w:t>结合工程项目的类型，提出可行的资金筹集渠道。</w:t>
      </w:r>
    </w:p>
    <w:p w14:paraId="0D0D44A2"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b）</w:t>
      </w:r>
      <w:r w:rsidRPr="00343FDF">
        <w:rPr>
          <w:rFonts w:ascii="仿宋_GB2312" w:eastAsia="仿宋_GB2312" w:hAnsi="仿宋_GB2312" w:cs="仿宋_GB2312"/>
          <w:sz w:val="30"/>
          <w:szCs w:val="30"/>
        </w:rPr>
        <w:t>资金筹集渠道可包括企业筹集资金、国家和省级相关专项资金的申请、地方财政资金、社会资金等。</w:t>
      </w:r>
    </w:p>
    <w:p w14:paraId="510EBCCA"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6.9　保障措施与跟踪评价</w:t>
      </w:r>
    </w:p>
    <w:p w14:paraId="3D6D653A"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6.9.1　保障措施</w:t>
      </w:r>
    </w:p>
    <w:p w14:paraId="28D145BA"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从组织保障（工程项目组织管理方式）、环境监管能力建设、确保区域整治顺利实施的相关政策、技术创新、后期维护管理（工程实施后的工程设施维护）养护措施）等方面进行保障措施的分析。</w:t>
      </w:r>
    </w:p>
    <w:p w14:paraId="7F6CBA5F"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6.9.2　监测方案</w:t>
      </w:r>
    </w:p>
    <w:p w14:paraId="0936CB7F"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明确监测的目的、范围、内容、方法，以及监测期限和监测频次等。</w:t>
      </w:r>
    </w:p>
    <w:p w14:paraId="162979B7"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6.9.3　治理成效评估方案</w:t>
      </w:r>
    </w:p>
    <w:p w14:paraId="502F2C42"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6.9.3.1　跟踪评估方法</w:t>
      </w:r>
    </w:p>
    <w:p w14:paraId="3CC1C475"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lastRenderedPageBreak/>
        <w:t>根据跟踪监测得出的结果，提出矿区污染防治成效评估的方法。</w:t>
      </w:r>
    </w:p>
    <w:p w14:paraId="709A863B"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6.9.3.2　动态调整方案</w:t>
      </w:r>
    </w:p>
    <w:p w14:paraId="731C7B71"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根据进展、成效、问题的总结，提出实施方案动态更新调整的计划。</w:t>
      </w:r>
    </w:p>
    <w:p w14:paraId="26B8A18D"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6.10　效益分析</w:t>
      </w:r>
    </w:p>
    <w:p w14:paraId="141A6FAC"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6.10.1　生态效益分析</w:t>
      </w:r>
    </w:p>
    <w:p w14:paraId="553ADDF8"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考虑水体质量改善、土壤质量改善、生态相关指标的变化改善情况等。</w:t>
      </w:r>
    </w:p>
    <w:p w14:paraId="4E624DAE"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6.10.2　经济效益分析</w:t>
      </w:r>
    </w:p>
    <w:p w14:paraId="2C4AFD34"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考虑工程投入产出比、以及由矿山环境污染防治带来的其他方面的潜在效益，如土地增值、居民收入增长、旅游收入增长等。</w:t>
      </w:r>
    </w:p>
    <w:p w14:paraId="53E08A6F" w14:textId="77777777" w:rsidR="00D56E03" w:rsidRPr="00343FDF" w:rsidRDefault="00000000">
      <w:pPr>
        <w:pStyle w:val="a1"/>
        <w:ind w:firstLineChars="0" w:firstLine="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w:t>
      </w:r>
      <w:r w:rsidRPr="00343FDF">
        <w:rPr>
          <w:rFonts w:ascii="仿宋_GB2312" w:eastAsia="仿宋_GB2312" w:hAnsi="仿宋_GB2312" w:cs="仿宋_GB2312"/>
          <w:sz w:val="30"/>
          <w:szCs w:val="30"/>
        </w:rPr>
        <w:t>6.10.3　社会效益分析</w:t>
      </w:r>
    </w:p>
    <w:p w14:paraId="682B964B" w14:textId="77777777" w:rsidR="00D56E03" w:rsidRPr="00343FDF" w:rsidRDefault="00000000">
      <w:pPr>
        <w:pStyle w:val="a1"/>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考虑矿山环境污染防治工程涉及的人居环境改善、防灾减灾能力提升、群众满意度上升、环保意识提高、社会稳定性等方面。</w:t>
      </w:r>
    </w:p>
    <w:p w14:paraId="6B31B082" w14:textId="77777777" w:rsidR="00D56E03" w:rsidRPr="00343FDF" w:rsidRDefault="00000000">
      <w:pPr>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3.6.11　结论和建议</w:t>
      </w:r>
    </w:p>
    <w:p w14:paraId="6C4D4F54" w14:textId="77777777" w:rsidR="00D56E03" w:rsidRPr="00343FDF" w:rsidRDefault="00000000">
      <w:pPr>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3.6.11.1　主要结论</w:t>
      </w:r>
    </w:p>
    <w:p w14:paraId="6CE93D21"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简述项目可行性研究结论，评价项目在生态、经济、社会等各方面效果和风险，提出项目是否可行的研究结论。</w:t>
      </w:r>
    </w:p>
    <w:p w14:paraId="4ADAFF51" w14:textId="77777777" w:rsidR="00D56E03" w:rsidRPr="00343FDF" w:rsidRDefault="00000000">
      <w:pPr>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3.6.11.2　问题与建议</w:t>
      </w:r>
    </w:p>
    <w:p w14:paraId="4E81A8A8"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针对项目需要重点关注和进一步研究解决的问题，提出相关建议。</w:t>
      </w:r>
    </w:p>
    <w:p w14:paraId="5F3013E4" w14:textId="77777777" w:rsidR="00D56E03" w:rsidRPr="00343FDF" w:rsidRDefault="00000000">
      <w:pPr>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lastRenderedPageBreak/>
        <w:t>3.6.12　附件与附图</w:t>
      </w:r>
    </w:p>
    <w:p w14:paraId="5277EA05"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根据项目实际情况和相关规范要求，研究确定矿山生态问题现状图、评价图、矿山生态修复工程规划部署图等必要的附表、附图和附件等。</w:t>
      </w:r>
    </w:p>
    <w:p w14:paraId="5D5993A3" w14:textId="77777777" w:rsidR="00D56E03" w:rsidRPr="00343FDF" w:rsidRDefault="00000000">
      <w:pPr>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3.7　编制要求</w:t>
      </w:r>
    </w:p>
    <w:p w14:paraId="5081BB8A"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可行性研究报告的封面或扉页应包含工程名称、编制单位名称、咨询资质证书及编号、编制日期，以及主要编制人员姓名、专业、执业资格或职称等信息，并应加盖编制单位公章或设计咨询件专用章。</w:t>
      </w:r>
    </w:p>
    <w:p w14:paraId="1C04897B" w14:textId="77777777" w:rsidR="00D56E03" w:rsidRPr="00343FDF" w:rsidRDefault="00D56E03">
      <w:pPr>
        <w:rPr>
          <w:rFonts w:ascii="仿宋_GB2312" w:eastAsia="仿宋_GB2312" w:hAnsi="仿宋_GB2312" w:cs="仿宋_GB2312" w:hint="eastAsia"/>
          <w:sz w:val="30"/>
          <w:szCs w:val="30"/>
        </w:rPr>
      </w:pPr>
    </w:p>
    <w:p w14:paraId="751B002F" w14:textId="77777777" w:rsidR="00D56E03" w:rsidRPr="00343FDF" w:rsidRDefault="00D56E03">
      <w:pPr>
        <w:rPr>
          <w:rFonts w:ascii="仿宋_GB2312" w:eastAsia="仿宋_GB2312" w:hAnsi="仿宋_GB2312" w:cs="仿宋_GB2312" w:hint="eastAsia"/>
          <w:sz w:val="30"/>
          <w:szCs w:val="30"/>
        </w:rPr>
      </w:pPr>
    </w:p>
    <w:p w14:paraId="27E2F660" w14:textId="77777777" w:rsidR="00D56E03" w:rsidRPr="00343FDF" w:rsidRDefault="00D56E03">
      <w:pPr>
        <w:rPr>
          <w:rFonts w:ascii="仿宋_GB2312" w:eastAsia="仿宋_GB2312" w:hAnsi="仿宋_GB2312" w:cs="仿宋_GB2312" w:hint="eastAsia"/>
          <w:sz w:val="30"/>
          <w:szCs w:val="30"/>
        </w:rPr>
      </w:pPr>
    </w:p>
    <w:p w14:paraId="4912788C" w14:textId="77777777" w:rsidR="00D56E03" w:rsidRPr="00343FDF" w:rsidRDefault="00D56E03">
      <w:pPr>
        <w:rPr>
          <w:rFonts w:ascii="仿宋_GB2312" w:eastAsia="仿宋_GB2312" w:hAnsi="仿宋_GB2312" w:cs="仿宋_GB2312" w:hint="eastAsia"/>
          <w:sz w:val="30"/>
          <w:szCs w:val="30"/>
        </w:rPr>
      </w:pPr>
    </w:p>
    <w:p w14:paraId="64A76B1F" w14:textId="77777777" w:rsidR="00D56E03" w:rsidRPr="00343FDF" w:rsidRDefault="00D56E03">
      <w:pPr>
        <w:rPr>
          <w:rFonts w:ascii="仿宋_GB2312" w:eastAsia="仿宋_GB2312" w:hAnsi="仿宋_GB2312" w:cs="仿宋_GB2312" w:hint="eastAsia"/>
          <w:sz w:val="30"/>
          <w:szCs w:val="30"/>
        </w:rPr>
      </w:pPr>
    </w:p>
    <w:p w14:paraId="05C5836B" w14:textId="77777777" w:rsidR="00D56E03" w:rsidRPr="00343FDF" w:rsidRDefault="00D56E03">
      <w:pPr>
        <w:rPr>
          <w:rFonts w:ascii="仿宋_GB2312" w:eastAsia="仿宋_GB2312" w:hAnsi="仿宋_GB2312" w:cs="仿宋_GB2312" w:hint="eastAsia"/>
          <w:sz w:val="30"/>
          <w:szCs w:val="30"/>
        </w:rPr>
      </w:pPr>
    </w:p>
    <w:p w14:paraId="054F5CB7" w14:textId="77777777" w:rsidR="00D56E03" w:rsidRPr="00343FDF" w:rsidRDefault="00D56E03">
      <w:pPr>
        <w:rPr>
          <w:rFonts w:ascii="仿宋_GB2312" w:eastAsia="仿宋_GB2312" w:hAnsi="仿宋_GB2312" w:cs="仿宋_GB2312" w:hint="eastAsia"/>
          <w:sz w:val="30"/>
          <w:szCs w:val="30"/>
        </w:rPr>
      </w:pPr>
    </w:p>
    <w:p w14:paraId="50A49ED6" w14:textId="77777777" w:rsidR="00D56E03" w:rsidRPr="00343FDF" w:rsidRDefault="00D56E03">
      <w:pPr>
        <w:rPr>
          <w:rFonts w:ascii="仿宋_GB2312" w:eastAsia="仿宋_GB2312" w:hAnsi="仿宋_GB2312" w:cs="仿宋_GB2312" w:hint="eastAsia"/>
          <w:sz w:val="30"/>
          <w:szCs w:val="30"/>
        </w:rPr>
      </w:pPr>
    </w:p>
    <w:p w14:paraId="566E6716" w14:textId="77777777" w:rsidR="00D56E03" w:rsidRPr="00343FDF" w:rsidRDefault="00D56E03">
      <w:pPr>
        <w:rPr>
          <w:rFonts w:ascii="仿宋_GB2312" w:eastAsia="仿宋_GB2312" w:hAnsi="仿宋_GB2312" w:cs="仿宋_GB2312" w:hint="eastAsia"/>
          <w:sz w:val="30"/>
          <w:szCs w:val="30"/>
        </w:rPr>
      </w:pPr>
    </w:p>
    <w:p w14:paraId="64758DAF" w14:textId="77777777" w:rsidR="00D56E03" w:rsidRPr="00343FDF" w:rsidRDefault="00D56E03">
      <w:pPr>
        <w:rPr>
          <w:rFonts w:ascii="仿宋_GB2312" w:eastAsia="仿宋_GB2312" w:hAnsi="仿宋_GB2312" w:cs="仿宋_GB2312" w:hint="eastAsia"/>
          <w:sz w:val="30"/>
          <w:szCs w:val="30"/>
        </w:rPr>
      </w:pPr>
    </w:p>
    <w:p w14:paraId="0CC9527C" w14:textId="77777777" w:rsidR="00D56E03" w:rsidRPr="00343FDF" w:rsidRDefault="00D56E03">
      <w:pPr>
        <w:rPr>
          <w:rFonts w:ascii="仿宋_GB2312" w:eastAsia="仿宋_GB2312" w:hAnsi="仿宋_GB2312" w:cs="仿宋_GB2312" w:hint="eastAsia"/>
          <w:sz w:val="30"/>
          <w:szCs w:val="30"/>
        </w:rPr>
      </w:pPr>
    </w:p>
    <w:p w14:paraId="226E25B5" w14:textId="77777777" w:rsidR="00D56E03" w:rsidRPr="00343FDF" w:rsidRDefault="00D56E03">
      <w:pPr>
        <w:rPr>
          <w:rFonts w:ascii="仿宋_GB2312" w:eastAsia="仿宋_GB2312" w:hAnsi="仿宋_GB2312" w:cs="仿宋_GB2312" w:hint="eastAsia"/>
          <w:sz w:val="30"/>
          <w:szCs w:val="30"/>
        </w:rPr>
      </w:pPr>
    </w:p>
    <w:p w14:paraId="76A94F3E" w14:textId="77777777" w:rsidR="00D56E03" w:rsidRPr="00343FDF" w:rsidRDefault="00D56E03">
      <w:pPr>
        <w:rPr>
          <w:rFonts w:ascii="仿宋_GB2312" w:eastAsia="仿宋_GB2312" w:hAnsi="仿宋_GB2312" w:cs="仿宋_GB2312" w:hint="eastAsia"/>
          <w:sz w:val="30"/>
          <w:szCs w:val="30"/>
        </w:rPr>
      </w:pPr>
    </w:p>
    <w:p w14:paraId="5851EA18" w14:textId="77777777" w:rsidR="00D56E03" w:rsidRPr="00343FDF" w:rsidRDefault="00000000">
      <w:pPr>
        <w:pageBreakBefore/>
        <w:overflowPunct w:val="0"/>
        <w:adjustRightInd w:val="0"/>
        <w:snapToGrid w:val="0"/>
        <w:spacing w:before="20" w:afterLines="100" w:after="312"/>
        <w:jc w:val="center"/>
        <w:rPr>
          <w:rFonts w:ascii="黑体" w:eastAsia="黑体" w:hAnsi="黑体" w:cs="黑体" w:hint="eastAsia"/>
          <w:bCs/>
          <w:kern w:val="36"/>
          <w:sz w:val="24"/>
          <w:szCs w:val="24"/>
        </w:rPr>
      </w:pPr>
      <w:bookmarkStart w:id="37" w:name="_Toc15655_WPSOffice_Level1"/>
      <w:bookmarkStart w:id="38" w:name="_Toc28566"/>
      <w:bookmarkStart w:id="39" w:name="_Toc15224"/>
      <w:bookmarkEnd w:id="34"/>
      <w:bookmarkEnd w:id="35"/>
      <w:bookmarkEnd w:id="36"/>
      <w:r w:rsidRPr="00343FDF">
        <w:rPr>
          <w:rFonts w:ascii="黑体" w:eastAsia="黑体" w:hAnsi="黑体" w:cs="黑体" w:hint="eastAsia"/>
          <w:bCs/>
          <w:kern w:val="36"/>
          <w:sz w:val="24"/>
          <w:szCs w:val="24"/>
        </w:rPr>
        <w:lastRenderedPageBreak/>
        <w:t>附  录 B （资料性）</w:t>
      </w:r>
      <w:r w:rsidRPr="00343FDF">
        <w:rPr>
          <w:rFonts w:ascii="黑体" w:eastAsia="黑体" w:hAnsi="黑体" w:cs="黑体" w:hint="eastAsia"/>
          <w:bCs/>
          <w:kern w:val="36"/>
          <w:sz w:val="24"/>
          <w:szCs w:val="24"/>
        </w:rPr>
        <w:br/>
        <w:t>矿区涉重金属污染治理推荐技术方法</w:t>
      </w:r>
      <w:bookmarkEnd w:id="37"/>
      <w:bookmarkEnd w:id="38"/>
      <w:bookmarkEnd w:id="39"/>
    </w:p>
    <w:tbl>
      <w:tblPr>
        <w:tblStyle w:val="ad"/>
        <w:tblW w:w="8522" w:type="dxa"/>
        <w:tblLayout w:type="fixed"/>
        <w:tblLook w:val="04A0" w:firstRow="1" w:lastRow="0" w:firstColumn="1" w:lastColumn="0" w:noHBand="0" w:noVBand="1"/>
      </w:tblPr>
      <w:tblGrid>
        <w:gridCol w:w="1123"/>
        <w:gridCol w:w="2307"/>
        <w:gridCol w:w="1680"/>
        <w:gridCol w:w="3412"/>
      </w:tblGrid>
      <w:tr w:rsidR="00343FDF" w:rsidRPr="00343FDF" w14:paraId="774A2F12" w14:textId="77777777">
        <w:tc>
          <w:tcPr>
            <w:tcW w:w="3430" w:type="dxa"/>
            <w:gridSpan w:val="2"/>
          </w:tcPr>
          <w:p w14:paraId="598E7C33" w14:textId="77777777" w:rsidR="00D56E03" w:rsidRPr="00343FDF" w:rsidRDefault="00000000">
            <w:pPr>
              <w:spacing w:line="0" w:lineRule="atLeast"/>
              <w:jc w:val="center"/>
              <w:rPr>
                <w:rFonts w:ascii="黑体" w:eastAsia="黑体" w:hAnsi="黑体" w:cs="黑体" w:hint="eastAsia"/>
                <w:szCs w:val="21"/>
              </w:rPr>
            </w:pPr>
            <w:r w:rsidRPr="00343FDF">
              <w:rPr>
                <w:rFonts w:ascii="黑体" w:eastAsia="黑体" w:hAnsi="黑体" w:cs="黑体" w:hint="eastAsia"/>
                <w:szCs w:val="21"/>
              </w:rPr>
              <w:t>污染源类型</w:t>
            </w:r>
          </w:p>
        </w:tc>
        <w:tc>
          <w:tcPr>
            <w:tcW w:w="1680" w:type="dxa"/>
          </w:tcPr>
          <w:p w14:paraId="4A3F966E" w14:textId="77777777" w:rsidR="00D56E03" w:rsidRPr="00343FDF" w:rsidRDefault="00000000">
            <w:pPr>
              <w:spacing w:line="0" w:lineRule="atLeast"/>
              <w:jc w:val="left"/>
              <w:rPr>
                <w:rFonts w:ascii="黑体" w:eastAsia="黑体" w:hAnsi="黑体" w:cs="黑体" w:hint="eastAsia"/>
                <w:szCs w:val="21"/>
              </w:rPr>
            </w:pPr>
            <w:r w:rsidRPr="00343FDF">
              <w:rPr>
                <w:rFonts w:ascii="黑体" w:eastAsia="黑体" w:hAnsi="黑体" w:cs="黑体" w:hint="eastAsia"/>
                <w:szCs w:val="21"/>
              </w:rPr>
              <w:t>推荐技术</w:t>
            </w:r>
          </w:p>
        </w:tc>
        <w:tc>
          <w:tcPr>
            <w:tcW w:w="3412" w:type="dxa"/>
          </w:tcPr>
          <w:p w14:paraId="047AD501" w14:textId="77777777" w:rsidR="00D56E03" w:rsidRPr="00343FDF" w:rsidRDefault="00000000">
            <w:pPr>
              <w:spacing w:line="0" w:lineRule="atLeast"/>
              <w:jc w:val="center"/>
              <w:rPr>
                <w:rFonts w:ascii="黑体" w:eastAsia="黑体" w:hAnsi="黑体" w:cs="黑体" w:hint="eastAsia"/>
                <w:szCs w:val="21"/>
              </w:rPr>
            </w:pPr>
            <w:r w:rsidRPr="00343FDF">
              <w:rPr>
                <w:rFonts w:ascii="黑体" w:eastAsia="黑体" w:hAnsi="黑体" w:cs="黑体" w:hint="eastAsia"/>
                <w:szCs w:val="21"/>
              </w:rPr>
              <w:t>技术内容</w:t>
            </w:r>
          </w:p>
        </w:tc>
      </w:tr>
      <w:tr w:rsidR="00343FDF" w:rsidRPr="00343FDF" w14:paraId="704803D4" w14:textId="77777777">
        <w:tc>
          <w:tcPr>
            <w:tcW w:w="1123" w:type="dxa"/>
            <w:vMerge w:val="restart"/>
            <w:vAlign w:val="center"/>
          </w:tcPr>
          <w:p w14:paraId="73FCD014"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矿</w:t>
            </w:r>
            <w:proofErr w:type="gramStart"/>
            <w:r w:rsidRPr="00343FDF">
              <w:rPr>
                <w:rFonts w:ascii="宋体" w:eastAsia="宋体" w:hAnsi="宋体" w:cs="宋体" w:hint="eastAsia"/>
                <w:szCs w:val="21"/>
              </w:rPr>
              <w:t>硐</w:t>
            </w:r>
            <w:proofErr w:type="gramEnd"/>
          </w:p>
        </w:tc>
        <w:tc>
          <w:tcPr>
            <w:tcW w:w="2307" w:type="dxa"/>
            <w:vAlign w:val="center"/>
          </w:tcPr>
          <w:p w14:paraId="44C789EC"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无水矿</w:t>
            </w:r>
            <w:proofErr w:type="gramStart"/>
            <w:r w:rsidRPr="00343FDF">
              <w:rPr>
                <w:rFonts w:ascii="宋体" w:eastAsia="宋体" w:hAnsi="宋体" w:cs="宋体" w:hint="eastAsia"/>
                <w:szCs w:val="21"/>
              </w:rPr>
              <w:t>硐</w:t>
            </w:r>
            <w:proofErr w:type="gramEnd"/>
          </w:p>
        </w:tc>
        <w:tc>
          <w:tcPr>
            <w:tcW w:w="1680" w:type="dxa"/>
            <w:vAlign w:val="center"/>
          </w:tcPr>
          <w:p w14:paraId="360309E9"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简易封堵</w:t>
            </w:r>
          </w:p>
        </w:tc>
        <w:tc>
          <w:tcPr>
            <w:tcW w:w="3412" w:type="dxa"/>
          </w:tcPr>
          <w:p w14:paraId="2DA00E0E" w14:textId="77777777" w:rsidR="00D56E03" w:rsidRPr="00343FDF" w:rsidRDefault="00000000">
            <w:pPr>
              <w:spacing w:line="0" w:lineRule="atLeast"/>
              <w:rPr>
                <w:rFonts w:ascii="宋体" w:eastAsia="宋体" w:hAnsi="宋体" w:cs="宋体" w:hint="eastAsia"/>
                <w:szCs w:val="21"/>
              </w:rPr>
            </w:pPr>
            <w:r w:rsidRPr="00343FDF">
              <w:rPr>
                <w:rFonts w:ascii="宋体" w:eastAsia="宋体" w:hAnsi="宋体" w:cs="宋体" w:hint="eastAsia"/>
                <w:szCs w:val="21"/>
              </w:rPr>
              <w:t>钢筋混凝土挡墙简易封堵</w:t>
            </w:r>
          </w:p>
        </w:tc>
      </w:tr>
      <w:tr w:rsidR="00343FDF" w:rsidRPr="00343FDF" w14:paraId="401F1F2F" w14:textId="77777777">
        <w:tc>
          <w:tcPr>
            <w:tcW w:w="1123" w:type="dxa"/>
            <w:vMerge/>
          </w:tcPr>
          <w:p w14:paraId="15C7C691" w14:textId="77777777" w:rsidR="00D56E03" w:rsidRPr="00343FDF" w:rsidRDefault="00D56E03">
            <w:pPr>
              <w:spacing w:line="0" w:lineRule="atLeast"/>
              <w:rPr>
                <w:rFonts w:ascii="宋体" w:eastAsia="宋体" w:hAnsi="宋体" w:cs="宋体" w:hint="eastAsia"/>
                <w:szCs w:val="21"/>
              </w:rPr>
            </w:pPr>
          </w:p>
        </w:tc>
        <w:tc>
          <w:tcPr>
            <w:tcW w:w="2307" w:type="dxa"/>
            <w:vMerge w:val="restart"/>
            <w:vAlign w:val="center"/>
          </w:tcPr>
          <w:p w14:paraId="2C19678B"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涌水矿</w:t>
            </w:r>
            <w:proofErr w:type="gramStart"/>
            <w:r w:rsidRPr="00343FDF">
              <w:rPr>
                <w:rFonts w:ascii="宋体" w:eastAsia="宋体" w:hAnsi="宋体" w:cs="宋体" w:hint="eastAsia"/>
                <w:szCs w:val="21"/>
              </w:rPr>
              <w:t>硐</w:t>
            </w:r>
            <w:proofErr w:type="gramEnd"/>
          </w:p>
        </w:tc>
        <w:tc>
          <w:tcPr>
            <w:tcW w:w="1680" w:type="dxa"/>
            <w:vAlign w:val="center"/>
          </w:tcPr>
          <w:p w14:paraId="65A6022E"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强化封堵</w:t>
            </w:r>
          </w:p>
        </w:tc>
        <w:tc>
          <w:tcPr>
            <w:tcW w:w="3412" w:type="dxa"/>
          </w:tcPr>
          <w:p w14:paraId="2CAE91E1" w14:textId="77777777" w:rsidR="00D56E03" w:rsidRPr="00343FDF" w:rsidRDefault="00000000">
            <w:pPr>
              <w:spacing w:line="0" w:lineRule="atLeast"/>
              <w:rPr>
                <w:rFonts w:ascii="宋体" w:eastAsia="宋体" w:hAnsi="宋体" w:cs="宋体" w:hint="eastAsia"/>
                <w:szCs w:val="21"/>
              </w:rPr>
            </w:pPr>
            <w:r w:rsidRPr="00343FDF">
              <w:rPr>
                <w:rFonts w:ascii="宋体" w:eastAsia="宋体" w:hAnsi="宋体" w:cs="宋体" w:hint="eastAsia"/>
                <w:szCs w:val="21"/>
              </w:rPr>
              <w:t>砖石密封墙、砂石混凝土密封墙、沙袋密封墙等封堵</w:t>
            </w:r>
          </w:p>
        </w:tc>
      </w:tr>
      <w:tr w:rsidR="00343FDF" w:rsidRPr="00343FDF" w14:paraId="49761239" w14:textId="77777777">
        <w:tc>
          <w:tcPr>
            <w:tcW w:w="1123" w:type="dxa"/>
            <w:vMerge/>
          </w:tcPr>
          <w:p w14:paraId="04FC1BA1" w14:textId="77777777" w:rsidR="00D56E03" w:rsidRPr="00343FDF" w:rsidRDefault="00D56E03">
            <w:pPr>
              <w:spacing w:line="0" w:lineRule="atLeast"/>
              <w:rPr>
                <w:rFonts w:ascii="宋体" w:eastAsia="宋体" w:hAnsi="宋体" w:cs="宋体" w:hint="eastAsia"/>
                <w:szCs w:val="21"/>
              </w:rPr>
            </w:pPr>
          </w:p>
        </w:tc>
        <w:tc>
          <w:tcPr>
            <w:tcW w:w="2307" w:type="dxa"/>
            <w:vMerge/>
            <w:vAlign w:val="center"/>
          </w:tcPr>
          <w:p w14:paraId="56BCA2E3" w14:textId="77777777" w:rsidR="00D56E03" w:rsidRPr="00343FDF" w:rsidRDefault="00D56E03">
            <w:pPr>
              <w:spacing w:line="0" w:lineRule="atLeast"/>
              <w:jc w:val="center"/>
              <w:rPr>
                <w:rFonts w:ascii="宋体" w:eastAsia="宋体" w:hAnsi="宋体" w:cs="宋体" w:hint="eastAsia"/>
                <w:szCs w:val="21"/>
              </w:rPr>
            </w:pPr>
          </w:p>
        </w:tc>
        <w:tc>
          <w:tcPr>
            <w:tcW w:w="1680" w:type="dxa"/>
            <w:vAlign w:val="center"/>
          </w:tcPr>
          <w:p w14:paraId="1DC1CF89"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帷幕灌浆</w:t>
            </w:r>
          </w:p>
        </w:tc>
        <w:tc>
          <w:tcPr>
            <w:tcW w:w="3412" w:type="dxa"/>
          </w:tcPr>
          <w:p w14:paraId="2F4371EB" w14:textId="77777777" w:rsidR="00D56E03" w:rsidRPr="00343FDF" w:rsidRDefault="00000000">
            <w:pPr>
              <w:spacing w:line="0" w:lineRule="atLeast"/>
              <w:jc w:val="left"/>
              <w:rPr>
                <w:rFonts w:ascii="宋体" w:eastAsia="宋体" w:hAnsi="宋体" w:cs="宋体" w:hint="eastAsia"/>
                <w:szCs w:val="21"/>
              </w:rPr>
            </w:pPr>
            <w:r w:rsidRPr="00343FDF">
              <w:rPr>
                <w:rFonts w:ascii="FZSSK--GBK1-0" w:eastAsia="FZSSK--GBK1-0" w:hAnsi="FZSSK--GBK1-0" w:hint="eastAsia"/>
                <w:szCs w:val="21"/>
              </w:rPr>
              <w:t>高压将灌浆浆料注入松散岩层或含水层裂缝</w:t>
            </w:r>
          </w:p>
        </w:tc>
      </w:tr>
      <w:tr w:rsidR="00343FDF" w:rsidRPr="00343FDF" w14:paraId="1E00A2C1" w14:textId="77777777">
        <w:tc>
          <w:tcPr>
            <w:tcW w:w="1123" w:type="dxa"/>
            <w:vMerge w:val="restart"/>
            <w:vAlign w:val="center"/>
          </w:tcPr>
          <w:p w14:paraId="51A5E3FB"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废渣堆</w:t>
            </w:r>
          </w:p>
        </w:tc>
        <w:tc>
          <w:tcPr>
            <w:tcW w:w="2307" w:type="dxa"/>
            <w:vMerge w:val="restart"/>
            <w:vAlign w:val="center"/>
          </w:tcPr>
          <w:p w14:paraId="6427F4C4"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一般工业固废</w:t>
            </w:r>
          </w:p>
          <w:p w14:paraId="6BE5E236"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（一类）</w:t>
            </w:r>
          </w:p>
        </w:tc>
        <w:tc>
          <w:tcPr>
            <w:tcW w:w="1680" w:type="dxa"/>
          </w:tcPr>
          <w:p w14:paraId="6D2417BE"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矿井填充</w:t>
            </w:r>
          </w:p>
        </w:tc>
        <w:tc>
          <w:tcPr>
            <w:tcW w:w="3412" w:type="dxa"/>
          </w:tcPr>
          <w:p w14:paraId="1CAFC40B" w14:textId="77777777" w:rsidR="00D56E03" w:rsidRPr="00343FDF" w:rsidRDefault="00000000">
            <w:pPr>
              <w:spacing w:line="0" w:lineRule="atLeast"/>
              <w:rPr>
                <w:rFonts w:ascii="宋体" w:eastAsia="宋体" w:hAnsi="宋体" w:cs="宋体" w:hint="eastAsia"/>
                <w:szCs w:val="21"/>
              </w:rPr>
            </w:pPr>
            <w:r w:rsidRPr="00343FDF">
              <w:rPr>
                <w:rFonts w:ascii="宋体" w:eastAsia="宋体" w:hAnsi="宋体" w:cs="宋体" w:hint="eastAsia"/>
                <w:szCs w:val="21"/>
              </w:rPr>
              <w:t>将矿山废渣填充矿井后封堵</w:t>
            </w:r>
          </w:p>
        </w:tc>
      </w:tr>
      <w:tr w:rsidR="00343FDF" w:rsidRPr="00343FDF" w14:paraId="3E740374" w14:textId="77777777">
        <w:tc>
          <w:tcPr>
            <w:tcW w:w="1123" w:type="dxa"/>
            <w:vMerge/>
            <w:vAlign w:val="center"/>
          </w:tcPr>
          <w:p w14:paraId="197087E7"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0D1A6ED4" w14:textId="77777777" w:rsidR="00D56E03" w:rsidRPr="00343FDF" w:rsidRDefault="00D56E03">
            <w:pPr>
              <w:spacing w:line="0" w:lineRule="atLeast"/>
              <w:rPr>
                <w:rFonts w:ascii="宋体" w:eastAsia="宋体" w:hAnsi="宋体" w:cs="宋体" w:hint="eastAsia"/>
                <w:szCs w:val="21"/>
              </w:rPr>
            </w:pPr>
          </w:p>
        </w:tc>
        <w:tc>
          <w:tcPr>
            <w:tcW w:w="1680" w:type="dxa"/>
          </w:tcPr>
          <w:p w14:paraId="4A1A808C"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资源化利用</w:t>
            </w:r>
          </w:p>
        </w:tc>
        <w:tc>
          <w:tcPr>
            <w:tcW w:w="3412" w:type="dxa"/>
          </w:tcPr>
          <w:p w14:paraId="75C26A46" w14:textId="77777777" w:rsidR="00D56E03" w:rsidRPr="00343FDF" w:rsidRDefault="00000000">
            <w:pPr>
              <w:spacing w:line="0" w:lineRule="atLeast"/>
              <w:rPr>
                <w:rFonts w:ascii="宋体" w:eastAsia="宋体" w:hAnsi="宋体" w:cs="宋体" w:hint="eastAsia"/>
                <w:szCs w:val="21"/>
              </w:rPr>
            </w:pPr>
            <w:r w:rsidRPr="00343FDF">
              <w:rPr>
                <w:rFonts w:ascii="宋体" w:eastAsia="宋体" w:hAnsi="宋体" w:cs="宋体" w:hint="eastAsia"/>
                <w:szCs w:val="21"/>
              </w:rPr>
              <w:t>生产水泥建材、元素分离等</w:t>
            </w:r>
          </w:p>
        </w:tc>
      </w:tr>
      <w:tr w:rsidR="00343FDF" w:rsidRPr="00343FDF" w14:paraId="3A3798F3" w14:textId="77777777">
        <w:tc>
          <w:tcPr>
            <w:tcW w:w="1123" w:type="dxa"/>
            <w:vMerge/>
            <w:vAlign w:val="center"/>
          </w:tcPr>
          <w:p w14:paraId="03B55515"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5E8DB53C" w14:textId="77777777" w:rsidR="00D56E03" w:rsidRPr="00343FDF" w:rsidRDefault="00D56E03">
            <w:pPr>
              <w:spacing w:line="0" w:lineRule="atLeast"/>
              <w:rPr>
                <w:rFonts w:ascii="宋体" w:eastAsia="宋体" w:hAnsi="宋体" w:cs="宋体" w:hint="eastAsia"/>
                <w:szCs w:val="21"/>
              </w:rPr>
            </w:pPr>
          </w:p>
        </w:tc>
        <w:tc>
          <w:tcPr>
            <w:tcW w:w="1680" w:type="dxa"/>
          </w:tcPr>
          <w:p w14:paraId="7D6E97E2"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原址原位处置</w:t>
            </w:r>
          </w:p>
        </w:tc>
        <w:tc>
          <w:tcPr>
            <w:tcW w:w="3412" w:type="dxa"/>
          </w:tcPr>
          <w:p w14:paraId="16C5B82F" w14:textId="77777777" w:rsidR="00D56E03" w:rsidRPr="00343FDF" w:rsidRDefault="00000000">
            <w:pPr>
              <w:spacing w:line="0" w:lineRule="atLeast"/>
              <w:rPr>
                <w:rFonts w:ascii="宋体" w:eastAsia="宋体" w:hAnsi="宋体" w:cs="宋体" w:hint="eastAsia"/>
                <w:szCs w:val="21"/>
              </w:rPr>
            </w:pPr>
            <w:r w:rsidRPr="00343FDF">
              <w:rPr>
                <w:rFonts w:ascii="宋体" w:eastAsia="宋体" w:hAnsi="宋体" w:cs="宋体" w:hint="eastAsia"/>
                <w:szCs w:val="21"/>
              </w:rPr>
              <w:t>改良酸性废石堆原址封场或常规原址封场</w:t>
            </w:r>
          </w:p>
        </w:tc>
      </w:tr>
      <w:tr w:rsidR="00343FDF" w:rsidRPr="00343FDF" w14:paraId="467596B7" w14:textId="77777777">
        <w:tc>
          <w:tcPr>
            <w:tcW w:w="1123" w:type="dxa"/>
            <w:vMerge/>
            <w:vAlign w:val="center"/>
          </w:tcPr>
          <w:p w14:paraId="01F36CC3"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72A01714" w14:textId="77777777" w:rsidR="00D56E03" w:rsidRPr="00343FDF" w:rsidRDefault="00D56E03">
            <w:pPr>
              <w:spacing w:line="0" w:lineRule="atLeast"/>
              <w:rPr>
                <w:rFonts w:ascii="宋体" w:eastAsia="宋体" w:hAnsi="宋体" w:cs="宋体" w:hint="eastAsia"/>
                <w:szCs w:val="21"/>
              </w:rPr>
            </w:pPr>
          </w:p>
        </w:tc>
        <w:tc>
          <w:tcPr>
            <w:tcW w:w="1680" w:type="dxa"/>
          </w:tcPr>
          <w:p w14:paraId="02A25AD9"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原址异位处置</w:t>
            </w:r>
          </w:p>
        </w:tc>
        <w:tc>
          <w:tcPr>
            <w:tcW w:w="3412" w:type="dxa"/>
          </w:tcPr>
          <w:p w14:paraId="2983F5B3" w14:textId="77777777" w:rsidR="00D56E03" w:rsidRPr="00343FDF" w:rsidRDefault="00000000">
            <w:pPr>
              <w:spacing w:line="0" w:lineRule="atLeast"/>
              <w:rPr>
                <w:rFonts w:ascii="宋体" w:eastAsia="宋体" w:hAnsi="宋体" w:cs="宋体" w:hint="eastAsia"/>
                <w:szCs w:val="21"/>
              </w:rPr>
            </w:pPr>
            <w:r w:rsidRPr="00343FDF">
              <w:rPr>
                <w:rFonts w:ascii="宋体" w:eastAsia="宋体" w:hAnsi="宋体" w:cs="宋体" w:hint="eastAsia"/>
                <w:szCs w:val="21"/>
              </w:rPr>
              <w:t>同一废石堆修整或同一堆点合并封场</w:t>
            </w:r>
          </w:p>
        </w:tc>
      </w:tr>
      <w:tr w:rsidR="00343FDF" w:rsidRPr="00343FDF" w14:paraId="2B3AEBAA" w14:textId="77777777">
        <w:trPr>
          <w:trHeight w:val="321"/>
        </w:trPr>
        <w:tc>
          <w:tcPr>
            <w:tcW w:w="1123" w:type="dxa"/>
            <w:vMerge/>
          </w:tcPr>
          <w:p w14:paraId="2823CE49" w14:textId="77777777" w:rsidR="00D56E03" w:rsidRPr="00343FDF" w:rsidRDefault="00D56E03">
            <w:pPr>
              <w:spacing w:line="0" w:lineRule="atLeast"/>
              <w:jc w:val="center"/>
              <w:rPr>
                <w:rFonts w:ascii="宋体" w:eastAsia="宋体" w:hAnsi="宋体" w:cs="宋体" w:hint="eastAsia"/>
                <w:szCs w:val="21"/>
              </w:rPr>
            </w:pPr>
          </w:p>
        </w:tc>
        <w:tc>
          <w:tcPr>
            <w:tcW w:w="2307" w:type="dxa"/>
          </w:tcPr>
          <w:p w14:paraId="00AD9E44"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一般工业固废</w:t>
            </w:r>
          </w:p>
          <w:p w14:paraId="1F9D3EB8"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（二类）</w:t>
            </w:r>
          </w:p>
        </w:tc>
        <w:tc>
          <w:tcPr>
            <w:tcW w:w="1680" w:type="dxa"/>
          </w:tcPr>
          <w:p w14:paraId="6E7BCC2B"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异地处置</w:t>
            </w:r>
          </w:p>
        </w:tc>
        <w:tc>
          <w:tcPr>
            <w:tcW w:w="3412" w:type="dxa"/>
          </w:tcPr>
          <w:p w14:paraId="1E548339" w14:textId="77777777" w:rsidR="00D56E03" w:rsidRPr="00343FDF" w:rsidRDefault="00000000">
            <w:pPr>
              <w:spacing w:line="0" w:lineRule="atLeast"/>
              <w:rPr>
                <w:rFonts w:ascii="Times New Roman" w:eastAsia="宋体" w:hAnsi="Times New Roman" w:cs="Times New Roman"/>
                <w:szCs w:val="21"/>
              </w:rPr>
            </w:pPr>
            <w:r w:rsidRPr="00343FDF">
              <w:rPr>
                <w:rFonts w:ascii="Times New Roman" w:eastAsia="宋体" w:hAnsi="Times New Roman" w:cs="Times New Roman"/>
                <w:szCs w:val="21"/>
              </w:rPr>
              <w:t>填埋场填埋</w:t>
            </w:r>
          </w:p>
        </w:tc>
      </w:tr>
      <w:tr w:rsidR="00343FDF" w:rsidRPr="00343FDF" w14:paraId="442A3D86" w14:textId="77777777">
        <w:tc>
          <w:tcPr>
            <w:tcW w:w="1123" w:type="dxa"/>
            <w:vMerge w:val="restart"/>
            <w:vAlign w:val="center"/>
          </w:tcPr>
          <w:p w14:paraId="0E6F96F4"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废水</w:t>
            </w:r>
          </w:p>
        </w:tc>
        <w:tc>
          <w:tcPr>
            <w:tcW w:w="2307" w:type="dxa"/>
            <w:vMerge w:val="restart"/>
            <w:vAlign w:val="center"/>
          </w:tcPr>
          <w:p w14:paraId="69FEB8F9"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酸性废水</w:t>
            </w:r>
          </w:p>
        </w:tc>
        <w:tc>
          <w:tcPr>
            <w:tcW w:w="1680" w:type="dxa"/>
            <w:vAlign w:val="center"/>
          </w:tcPr>
          <w:p w14:paraId="6C0B1A58"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中和法</w:t>
            </w:r>
          </w:p>
        </w:tc>
        <w:tc>
          <w:tcPr>
            <w:tcW w:w="3412" w:type="dxa"/>
          </w:tcPr>
          <w:p w14:paraId="00FEA5C6" w14:textId="77777777" w:rsidR="00D56E03" w:rsidRPr="00343FDF" w:rsidRDefault="00000000">
            <w:pPr>
              <w:spacing w:line="0" w:lineRule="atLeast"/>
              <w:rPr>
                <w:rFonts w:ascii="Times New Roman" w:eastAsia="宋体" w:hAnsi="Times New Roman" w:cs="Times New Roman"/>
                <w:szCs w:val="21"/>
              </w:rPr>
            </w:pPr>
            <w:r w:rsidRPr="00343FDF">
              <w:rPr>
                <w:rFonts w:ascii="Times New Roman" w:eastAsia="宋体" w:hAnsi="Times New Roman" w:cs="Times New Roman"/>
                <w:szCs w:val="21"/>
              </w:rPr>
              <w:t>向酸性废水投加药剂提高</w:t>
            </w:r>
            <w:r w:rsidRPr="00343FDF">
              <w:rPr>
                <w:rFonts w:ascii="Times New Roman" w:eastAsia="宋体" w:hAnsi="Times New Roman" w:cs="Times New Roman"/>
                <w:szCs w:val="21"/>
              </w:rPr>
              <w:t>pH</w:t>
            </w:r>
            <w:r w:rsidRPr="00343FDF">
              <w:rPr>
                <w:rFonts w:ascii="Times New Roman" w:eastAsia="宋体" w:hAnsi="Times New Roman" w:cs="Times New Roman"/>
                <w:szCs w:val="21"/>
              </w:rPr>
              <w:t>值，并与废水中的金属离子发生化学反应形成沉淀，过滤沉淀达到去除污染的目的</w:t>
            </w:r>
          </w:p>
        </w:tc>
      </w:tr>
      <w:tr w:rsidR="00343FDF" w:rsidRPr="00343FDF" w14:paraId="4E36D7E3" w14:textId="77777777">
        <w:tc>
          <w:tcPr>
            <w:tcW w:w="1123" w:type="dxa"/>
            <w:vMerge/>
            <w:vAlign w:val="center"/>
          </w:tcPr>
          <w:p w14:paraId="2387180C"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10B2458D" w14:textId="77777777" w:rsidR="00D56E03" w:rsidRPr="00343FDF" w:rsidRDefault="00D56E03">
            <w:pPr>
              <w:spacing w:line="0" w:lineRule="atLeast"/>
              <w:jc w:val="center"/>
              <w:rPr>
                <w:rFonts w:ascii="宋体" w:eastAsia="宋体" w:hAnsi="宋体" w:cs="宋体" w:hint="eastAsia"/>
                <w:szCs w:val="21"/>
              </w:rPr>
            </w:pPr>
          </w:p>
        </w:tc>
        <w:tc>
          <w:tcPr>
            <w:tcW w:w="1680" w:type="dxa"/>
            <w:vAlign w:val="center"/>
          </w:tcPr>
          <w:p w14:paraId="2222E6C0"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吸附法</w:t>
            </w:r>
          </w:p>
        </w:tc>
        <w:tc>
          <w:tcPr>
            <w:tcW w:w="3412" w:type="dxa"/>
          </w:tcPr>
          <w:p w14:paraId="2FFB13E4" w14:textId="77777777" w:rsidR="00D56E03" w:rsidRPr="00343FDF" w:rsidRDefault="00000000">
            <w:pPr>
              <w:spacing w:line="0" w:lineRule="atLeast"/>
              <w:rPr>
                <w:rFonts w:ascii="Times New Roman" w:eastAsia="宋体" w:hAnsi="Times New Roman" w:cs="Times New Roman"/>
                <w:szCs w:val="21"/>
              </w:rPr>
            </w:pPr>
            <w:r w:rsidRPr="00343FDF">
              <w:rPr>
                <w:rFonts w:ascii="Times New Roman" w:eastAsia="宋体" w:hAnsi="Times New Roman" w:cs="Times New Roman"/>
                <w:szCs w:val="21"/>
              </w:rPr>
              <w:t>利用固体吸附剂的物理吸附和化学吸附性能，去除酸性废水中污染物</w:t>
            </w:r>
          </w:p>
        </w:tc>
      </w:tr>
      <w:tr w:rsidR="00343FDF" w:rsidRPr="00343FDF" w14:paraId="0B0AB704" w14:textId="77777777">
        <w:tc>
          <w:tcPr>
            <w:tcW w:w="1123" w:type="dxa"/>
            <w:vMerge/>
            <w:vAlign w:val="center"/>
          </w:tcPr>
          <w:p w14:paraId="2904F2F0"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3DE8A200" w14:textId="77777777" w:rsidR="00D56E03" w:rsidRPr="00343FDF" w:rsidRDefault="00D56E03">
            <w:pPr>
              <w:spacing w:line="0" w:lineRule="atLeast"/>
              <w:jc w:val="center"/>
              <w:rPr>
                <w:rFonts w:ascii="宋体" w:eastAsia="宋体" w:hAnsi="宋体" w:cs="宋体" w:hint="eastAsia"/>
                <w:szCs w:val="21"/>
              </w:rPr>
            </w:pPr>
          </w:p>
        </w:tc>
        <w:tc>
          <w:tcPr>
            <w:tcW w:w="1680" w:type="dxa"/>
            <w:vAlign w:val="center"/>
          </w:tcPr>
          <w:p w14:paraId="209BB869"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硫化沉淀</w:t>
            </w:r>
          </w:p>
        </w:tc>
        <w:tc>
          <w:tcPr>
            <w:tcW w:w="3412" w:type="dxa"/>
          </w:tcPr>
          <w:p w14:paraId="10FE68E4" w14:textId="77777777" w:rsidR="00D56E03" w:rsidRPr="00343FDF" w:rsidRDefault="00000000">
            <w:pPr>
              <w:spacing w:line="0" w:lineRule="atLeast"/>
              <w:rPr>
                <w:rFonts w:ascii="Times New Roman" w:eastAsia="宋体" w:hAnsi="Times New Roman" w:cs="Times New Roman"/>
                <w:szCs w:val="21"/>
              </w:rPr>
            </w:pPr>
            <w:r w:rsidRPr="00343FDF">
              <w:rPr>
                <w:rFonts w:ascii="Times New Roman" w:eastAsia="宋体" w:hAnsi="Times New Roman" w:cs="Times New Roman"/>
                <w:szCs w:val="21"/>
              </w:rPr>
              <w:t>通过调节</w:t>
            </w:r>
            <w:r w:rsidRPr="00343FDF">
              <w:rPr>
                <w:rFonts w:ascii="Times New Roman" w:eastAsia="宋体" w:hAnsi="Times New Roman" w:cs="Times New Roman"/>
                <w:szCs w:val="21"/>
              </w:rPr>
              <w:t>pH</w:t>
            </w:r>
            <w:r w:rsidRPr="00343FDF">
              <w:rPr>
                <w:rFonts w:ascii="Times New Roman" w:eastAsia="宋体" w:hAnsi="Times New Roman" w:cs="Times New Roman"/>
                <w:szCs w:val="21"/>
              </w:rPr>
              <w:t>，使重金属离子形成硫化物沉淀，去除重金属</w:t>
            </w:r>
          </w:p>
        </w:tc>
      </w:tr>
      <w:tr w:rsidR="00343FDF" w:rsidRPr="00343FDF" w14:paraId="50717B80" w14:textId="77777777">
        <w:tc>
          <w:tcPr>
            <w:tcW w:w="1123" w:type="dxa"/>
            <w:vMerge/>
            <w:vAlign w:val="center"/>
          </w:tcPr>
          <w:p w14:paraId="351BD32B"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0780F3BD" w14:textId="77777777" w:rsidR="00D56E03" w:rsidRPr="00343FDF" w:rsidRDefault="00D56E03">
            <w:pPr>
              <w:spacing w:line="0" w:lineRule="atLeast"/>
              <w:jc w:val="center"/>
              <w:rPr>
                <w:rFonts w:ascii="宋体" w:eastAsia="宋体" w:hAnsi="宋体" w:cs="宋体" w:hint="eastAsia"/>
                <w:szCs w:val="21"/>
              </w:rPr>
            </w:pPr>
          </w:p>
        </w:tc>
        <w:tc>
          <w:tcPr>
            <w:tcW w:w="1680" w:type="dxa"/>
            <w:vAlign w:val="center"/>
          </w:tcPr>
          <w:p w14:paraId="79134856"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人工湿地</w:t>
            </w:r>
          </w:p>
        </w:tc>
        <w:tc>
          <w:tcPr>
            <w:tcW w:w="3412" w:type="dxa"/>
          </w:tcPr>
          <w:p w14:paraId="73CB11A9" w14:textId="77777777" w:rsidR="00D56E03" w:rsidRPr="00343FDF" w:rsidRDefault="00000000">
            <w:pPr>
              <w:spacing w:line="0" w:lineRule="atLeast"/>
              <w:rPr>
                <w:rFonts w:ascii="Times New Roman" w:eastAsia="宋体" w:hAnsi="Times New Roman" w:cs="Times New Roman"/>
                <w:szCs w:val="21"/>
              </w:rPr>
            </w:pPr>
            <w:r w:rsidRPr="00343FDF">
              <w:rPr>
                <w:rFonts w:ascii="Times New Roman" w:eastAsia="宋体" w:hAnsi="Times New Roman" w:cs="Times New Roman"/>
                <w:szCs w:val="21"/>
              </w:rPr>
              <w:t>综合物理、化学和生物方法，通过过滤、吸附、沉淀、离子交换、植物吸收和微生物分解等途径去处酸性废水中重金属离子</w:t>
            </w:r>
          </w:p>
        </w:tc>
      </w:tr>
      <w:tr w:rsidR="00343FDF" w:rsidRPr="00343FDF" w14:paraId="3D585040" w14:textId="77777777">
        <w:tc>
          <w:tcPr>
            <w:tcW w:w="1123" w:type="dxa"/>
            <w:vMerge/>
            <w:vAlign w:val="center"/>
          </w:tcPr>
          <w:p w14:paraId="2C9BC820"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6F59394E" w14:textId="77777777" w:rsidR="00D56E03" w:rsidRPr="00343FDF" w:rsidRDefault="00D56E03">
            <w:pPr>
              <w:spacing w:line="0" w:lineRule="atLeast"/>
              <w:jc w:val="center"/>
              <w:rPr>
                <w:rFonts w:ascii="宋体" w:eastAsia="宋体" w:hAnsi="宋体" w:cs="宋体" w:hint="eastAsia"/>
                <w:szCs w:val="21"/>
              </w:rPr>
            </w:pPr>
          </w:p>
        </w:tc>
        <w:tc>
          <w:tcPr>
            <w:tcW w:w="1680" w:type="dxa"/>
            <w:vAlign w:val="center"/>
          </w:tcPr>
          <w:p w14:paraId="4CF862B1"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微生物法</w:t>
            </w:r>
          </w:p>
        </w:tc>
        <w:tc>
          <w:tcPr>
            <w:tcW w:w="3412" w:type="dxa"/>
          </w:tcPr>
          <w:p w14:paraId="6FEEF5CB" w14:textId="77777777" w:rsidR="00D56E03" w:rsidRPr="00343FDF" w:rsidRDefault="00000000">
            <w:pPr>
              <w:spacing w:line="0" w:lineRule="atLeast"/>
              <w:rPr>
                <w:rFonts w:ascii="Times New Roman" w:eastAsia="宋体" w:hAnsi="Times New Roman" w:cs="Times New Roman"/>
                <w:szCs w:val="21"/>
              </w:rPr>
            </w:pPr>
            <w:r w:rsidRPr="00343FDF">
              <w:rPr>
                <w:rFonts w:ascii="Times New Roman" w:eastAsia="宋体" w:hAnsi="Times New Roman" w:cs="Times New Roman"/>
                <w:szCs w:val="21"/>
              </w:rPr>
              <w:t>硫酸盐还原菌在酸性、厌氧条件下，将硫酸盐还原成</w:t>
            </w:r>
            <w:r w:rsidRPr="00343FDF">
              <w:rPr>
                <w:rFonts w:ascii="Times New Roman" w:eastAsia="宋体" w:hAnsi="Times New Roman" w:cs="Times New Roman" w:hint="eastAsia"/>
                <w:szCs w:val="21"/>
              </w:rPr>
              <w:t>H</w:t>
            </w:r>
            <w:r w:rsidRPr="00343FDF">
              <w:rPr>
                <w:rFonts w:ascii="Times New Roman" w:eastAsia="宋体" w:hAnsi="Times New Roman" w:cs="Times New Roman"/>
                <w:szCs w:val="21"/>
                <w:vertAlign w:val="subscript"/>
              </w:rPr>
              <w:t>2</w:t>
            </w:r>
            <w:r w:rsidRPr="00343FDF">
              <w:rPr>
                <w:rFonts w:ascii="Times New Roman" w:eastAsia="宋体" w:hAnsi="Times New Roman" w:cs="Times New Roman" w:hint="eastAsia"/>
                <w:szCs w:val="21"/>
              </w:rPr>
              <w:t>S</w:t>
            </w:r>
            <w:r w:rsidRPr="00343FDF">
              <w:rPr>
                <w:rFonts w:ascii="Times New Roman" w:eastAsia="宋体" w:hAnsi="Times New Roman" w:cs="Times New Roman"/>
                <w:szCs w:val="21"/>
              </w:rPr>
              <w:t>，</w:t>
            </w:r>
            <w:r w:rsidRPr="00343FDF">
              <w:rPr>
                <w:rFonts w:ascii="Times New Roman" w:eastAsia="宋体" w:hAnsi="Times New Roman" w:cs="Times New Roman" w:hint="eastAsia"/>
                <w:szCs w:val="21"/>
              </w:rPr>
              <w:t>H</w:t>
            </w:r>
            <w:r w:rsidRPr="00343FDF">
              <w:rPr>
                <w:rFonts w:ascii="Times New Roman" w:eastAsia="宋体" w:hAnsi="Times New Roman" w:cs="Times New Roman"/>
                <w:szCs w:val="21"/>
                <w:vertAlign w:val="subscript"/>
              </w:rPr>
              <w:t>2</w:t>
            </w:r>
            <w:r w:rsidRPr="00343FDF">
              <w:rPr>
                <w:rFonts w:ascii="Times New Roman" w:eastAsia="宋体" w:hAnsi="Times New Roman" w:cs="Times New Roman" w:hint="eastAsia"/>
                <w:szCs w:val="21"/>
              </w:rPr>
              <w:t>S</w:t>
            </w:r>
            <w:r w:rsidRPr="00343FDF">
              <w:rPr>
                <w:rFonts w:ascii="Times New Roman" w:eastAsia="宋体" w:hAnsi="Times New Roman" w:cs="Times New Roman"/>
                <w:szCs w:val="21"/>
              </w:rPr>
              <w:t>与废水中的金属离子反应生成金属硫化物，去除金属离子和硫酸盐</w:t>
            </w:r>
          </w:p>
        </w:tc>
      </w:tr>
      <w:tr w:rsidR="00343FDF" w:rsidRPr="00343FDF" w14:paraId="09725545" w14:textId="77777777">
        <w:tc>
          <w:tcPr>
            <w:tcW w:w="1123" w:type="dxa"/>
            <w:vMerge/>
            <w:vAlign w:val="center"/>
          </w:tcPr>
          <w:p w14:paraId="000B897C"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55A6128B" w14:textId="77777777" w:rsidR="00D56E03" w:rsidRPr="00343FDF" w:rsidRDefault="00D56E03">
            <w:pPr>
              <w:spacing w:line="0" w:lineRule="atLeast"/>
              <w:jc w:val="center"/>
              <w:rPr>
                <w:rFonts w:ascii="宋体" w:eastAsia="宋体" w:hAnsi="宋体" w:cs="宋体" w:hint="eastAsia"/>
                <w:szCs w:val="21"/>
              </w:rPr>
            </w:pPr>
          </w:p>
        </w:tc>
        <w:tc>
          <w:tcPr>
            <w:tcW w:w="1680" w:type="dxa"/>
            <w:vAlign w:val="center"/>
          </w:tcPr>
          <w:p w14:paraId="5F2236B0" w14:textId="77777777" w:rsidR="00D56E03" w:rsidRPr="00343FDF" w:rsidRDefault="00000000">
            <w:pPr>
              <w:spacing w:line="0" w:lineRule="atLeast"/>
              <w:rPr>
                <w:rFonts w:ascii="宋体" w:eastAsia="宋体" w:hAnsi="宋体" w:cs="宋体" w:hint="eastAsia"/>
                <w:szCs w:val="21"/>
              </w:rPr>
            </w:pPr>
            <w:r w:rsidRPr="00343FDF">
              <w:rPr>
                <w:rFonts w:ascii="宋体" w:eastAsia="宋体" w:hAnsi="宋体" w:cs="宋体" w:hint="eastAsia"/>
                <w:szCs w:val="21"/>
              </w:rPr>
              <w:t>离子交换</w:t>
            </w:r>
          </w:p>
        </w:tc>
        <w:tc>
          <w:tcPr>
            <w:tcW w:w="3412" w:type="dxa"/>
          </w:tcPr>
          <w:p w14:paraId="3E98DD66" w14:textId="77777777" w:rsidR="00D56E03" w:rsidRPr="00343FDF" w:rsidRDefault="00000000">
            <w:pPr>
              <w:spacing w:line="0" w:lineRule="atLeast"/>
              <w:rPr>
                <w:rFonts w:ascii="宋体" w:eastAsia="宋体" w:hAnsi="宋体" w:cs="宋体" w:hint="eastAsia"/>
                <w:szCs w:val="21"/>
              </w:rPr>
            </w:pPr>
            <w:r w:rsidRPr="00343FDF">
              <w:rPr>
                <w:rFonts w:ascii="Times New Roman" w:eastAsia="宋体" w:hAnsi="Times New Roman" w:cs="Times New Roman" w:hint="eastAsia"/>
                <w:szCs w:val="21"/>
              </w:rPr>
              <w:t>通过离子交换剂中的离子与酸性废水中的离子进行交换，去除酸性废水中重金属离子</w:t>
            </w:r>
          </w:p>
        </w:tc>
      </w:tr>
      <w:tr w:rsidR="00343FDF" w:rsidRPr="00343FDF" w14:paraId="38FB8E90" w14:textId="77777777">
        <w:tc>
          <w:tcPr>
            <w:tcW w:w="1123" w:type="dxa"/>
            <w:vMerge/>
            <w:vAlign w:val="center"/>
          </w:tcPr>
          <w:p w14:paraId="023DE8EC"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1C1D69B2" w14:textId="77777777" w:rsidR="00D56E03" w:rsidRPr="00343FDF" w:rsidRDefault="00D56E03">
            <w:pPr>
              <w:spacing w:line="0" w:lineRule="atLeast"/>
              <w:jc w:val="center"/>
              <w:rPr>
                <w:rFonts w:ascii="宋体" w:eastAsia="宋体" w:hAnsi="宋体" w:cs="宋体" w:hint="eastAsia"/>
                <w:szCs w:val="21"/>
              </w:rPr>
            </w:pPr>
          </w:p>
        </w:tc>
        <w:tc>
          <w:tcPr>
            <w:tcW w:w="1680" w:type="dxa"/>
            <w:vAlign w:val="center"/>
          </w:tcPr>
          <w:p w14:paraId="2F6CA1D7"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稳态铁结晶</w:t>
            </w:r>
          </w:p>
        </w:tc>
        <w:tc>
          <w:tcPr>
            <w:tcW w:w="3412" w:type="dxa"/>
          </w:tcPr>
          <w:p w14:paraId="75898D38" w14:textId="77777777" w:rsidR="00D56E03" w:rsidRPr="00343FDF" w:rsidRDefault="00000000">
            <w:pPr>
              <w:spacing w:line="0" w:lineRule="atLeast"/>
              <w:rPr>
                <w:rFonts w:ascii="宋体" w:eastAsia="宋体" w:hAnsi="宋体" w:cs="宋体" w:hint="eastAsia"/>
                <w:szCs w:val="21"/>
              </w:rPr>
            </w:pPr>
            <w:r w:rsidRPr="00343FDF">
              <w:rPr>
                <w:rFonts w:ascii="Times New Roman" w:eastAsia="宋体" w:hAnsi="Times New Roman" w:cs="Times New Roman" w:hint="eastAsia"/>
                <w:szCs w:val="21"/>
              </w:rPr>
              <w:t>通过控制反应条件使三价铁大部分稳态流化结晶固着流化床填料表面，</w:t>
            </w:r>
            <w:r w:rsidRPr="00343FDF">
              <w:rPr>
                <w:rFonts w:ascii="Times New Roman" w:eastAsia="宋体" w:hAnsi="Times New Roman" w:cs="Times New Roman" w:hint="eastAsia"/>
                <w:szCs w:val="21"/>
              </w:rPr>
              <w:t xml:space="preserve"> </w:t>
            </w:r>
            <w:r w:rsidRPr="00343FDF">
              <w:rPr>
                <w:rFonts w:ascii="Times New Roman" w:eastAsia="宋体" w:hAnsi="Times New Roman" w:cs="Times New Roman" w:hint="eastAsia"/>
                <w:szCs w:val="21"/>
              </w:rPr>
              <w:t>减少了铁化学污泥产量</w:t>
            </w:r>
          </w:p>
        </w:tc>
      </w:tr>
      <w:tr w:rsidR="00343FDF" w:rsidRPr="00343FDF" w14:paraId="7DE71190" w14:textId="77777777">
        <w:tc>
          <w:tcPr>
            <w:tcW w:w="1123" w:type="dxa"/>
            <w:vMerge/>
            <w:vAlign w:val="center"/>
          </w:tcPr>
          <w:p w14:paraId="2598EF79" w14:textId="77777777" w:rsidR="00D56E03" w:rsidRPr="00343FDF" w:rsidRDefault="00D56E03">
            <w:pPr>
              <w:spacing w:line="0" w:lineRule="atLeast"/>
              <w:jc w:val="center"/>
              <w:rPr>
                <w:rFonts w:ascii="宋体" w:eastAsia="宋体" w:hAnsi="宋体" w:cs="宋体" w:hint="eastAsia"/>
                <w:szCs w:val="21"/>
              </w:rPr>
            </w:pPr>
          </w:p>
        </w:tc>
        <w:tc>
          <w:tcPr>
            <w:tcW w:w="2307" w:type="dxa"/>
            <w:vMerge/>
          </w:tcPr>
          <w:p w14:paraId="7727C188" w14:textId="77777777" w:rsidR="00D56E03" w:rsidRPr="00343FDF" w:rsidRDefault="00D56E03">
            <w:pPr>
              <w:spacing w:line="0" w:lineRule="atLeast"/>
              <w:jc w:val="center"/>
              <w:rPr>
                <w:rFonts w:ascii="宋体" w:eastAsia="宋体" w:hAnsi="宋体" w:cs="宋体" w:hint="eastAsia"/>
                <w:szCs w:val="21"/>
              </w:rPr>
            </w:pPr>
          </w:p>
        </w:tc>
        <w:tc>
          <w:tcPr>
            <w:tcW w:w="1680" w:type="dxa"/>
            <w:vAlign w:val="center"/>
          </w:tcPr>
          <w:p w14:paraId="4B3870AC" w14:textId="77777777" w:rsidR="00D56E03" w:rsidRPr="00343FDF" w:rsidRDefault="00000000">
            <w:pPr>
              <w:spacing w:line="0" w:lineRule="atLeast"/>
              <w:rPr>
                <w:rFonts w:ascii="宋体" w:eastAsia="宋体" w:hAnsi="宋体" w:cs="宋体" w:hint="eastAsia"/>
                <w:szCs w:val="21"/>
              </w:rPr>
            </w:pPr>
            <w:r w:rsidRPr="00343FDF">
              <w:rPr>
                <w:rFonts w:ascii="宋体" w:eastAsia="宋体" w:hAnsi="宋体" w:cs="宋体" w:hint="eastAsia"/>
                <w:szCs w:val="21"/>
              </w:rPr>
              <w:t>生物制剂处理</w:t>
            </w:r>
          </w:p>
        </w:tc>
        <w:tc>
          <w:tcPr>
            <w:tcW w:w="3412" w:type="dxa"/>
          </w:tcPr>
          <w:p w14:paraId="4F475079" w14:textId="77777777" w:rsidR="00D56E03" w:rsidRPr="00343FDF" w:rsidRDefault="00000000">
            <w:pPr>
              <w:spacing w:line="0" w:lineRule="atLeast"/>
              <w:rPr>
                <w:rFonts w:ascii="宋体" w:eastAsia="宋体" w:hAnsi="宋体" w:cs="宋体" w:hint="eastAsia"/>
                <w:szCs w:val="21"/>
              </w:rPr>
            </w:pPr>
            <w:r w:rsidRPr="00343FDF">
              <w:rPr>
                <w:rFonts w:ascii="Times New Roman" w:eastAsia="宋体" w:hAnsi="Times New Roman" w:cs="Times New Roman"/>
                <w:szCs w:val="21"/>
              </w:rPr>
              <w:t>利用复合功能菌群代谢产物配制的水处理剂，通过药剂多基团的协同配合，形成稳定的金属配合物，调节</w:t>
            </w:r>
            <w:r w:rsidRPr="00343FDF">
              <w:rPr>
                <w:rFonts w:ascii="Times New Roman" w:eastAsia="宋体" w:hAnsi="Times New Roman" w:cs="Times New Roman"/>
                <w:szCs w:val="21"/>
              </w:rPr>
              <w:t>pH</w:t>
            </w:r>
            <w:r w:rsidRPr="00343FDF">
              <w:rPr>
                <w:rFonts w:ascii="Times New Roman" w:eastAsia="宋体" w:hAnsi="Times New Roman" w:cs="Times New Roman"/>
                <w:szCs w:val="21"/>
              </w:rPr>
              <w:t>值以促进水解反应，当金属配合物水解形成颗粒后很快絮凝形成胶团，实现多种金属离子同时高效净化</w:t>
            </w:r>
          </w:p>
        </w:tc>
      </w:tr>
      <w:tr w:rsidR="00343FDF" w:rsidRPr="00343FDF" w14:paraId="33A220DD" w14:textId="77777777">
        <w:tc>
          <w:tcPr>
            <w:tcW w:w="1123" w:type="dxa"/>
            <w:vMerge/>
            <w:vAlign w:val="center"/>
          </w:tcPr>
          <w:p w14:paraId="2499B8D3" w14:textId="77777777" w:rsidR="00D56E03" w:rsidRPr="00343FDF" w:rsidRDefault="00D56E03">
            <w:pPr>
              <w:spacing w:line="0" w:lineRule="atLeast"/>
              <w:jc w:val="center"/>
              <w:rPr>
                <w:rFonts w:ascii="黑体" w:eastAsia="黑体" w:hAnsi="黑体" w:cs="黑体" w:hint="eastAsia"/>
                <w:szCs w:val="21"/>
              </w:rPr>
            </w:pPr>
          </w:p>
        </w:tc>
        <w:tc>
          <w:tcPr>
            <w:tcW w:w="2307" w:type="dxa"/>
            <w:vAlign w:val="center"/>
          </w:tcPr>
          <w:p w14:paraId="385445B4"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中性废水</w:t>
            </w:r>
          </w:p>
        </w:tc>
        <w:tc>
          <w:tcPr>
            <w:tcW w:w="1680" w:type="dxa"/>
            <w:vAlign w:val="center"/>
          </w:tcPr>
          <w:p w14:paraId="1402D612"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吸附沉淀法</w:t>
            </w:r>
          </w:p>
        </w:tc>
        <w:tc>
          <w:tcPr>
            <w:tcW w:w="3412" w:type="dxa"/>
          </w:tcPr>
          <w:p w14:paraId="4BDB358C" w14:textId="77777777" w:rsidR="00D56E03" w:rsidRPr="00343FDF" w:rsidRDefault="00000000">
            <w:pPr>
              <w:spacing w:line="0" w:lineRule="atLeast"/>
              <w:rPr>
                <w:rFonts w:ascii="黑体" w:eastAsia="黑体" w:hAnsi="黑体" w:cs="黑体" w:hint="eastAsia"/>
                <w:szCs w:val="21"/>
              </w:rPr>
            </w:pPr>
            <w:r w:rsidRPr="00343FDF">
              <w:rPr>
                <w:rFonts w:ascii="Times New Roman" w:eastAsia="宋体" w:hAnsi="Times New Roman" w:cs="Times New Roman"/>
                <w:szCs w:val="21"/>
              </w:rPr>
              <w:t>利用固体吸附剂的物理吸附和化学吸附性能，去除废水中污染物</w:t>
            </w:r>
          </w:p>
        </w:tc>
      </w:tr>
      <w:tr w:rsidR="00343FDF" w:rsidRPr="00343FDF" w14:paraId="6515448F" w14:textId="77777777">
        <w:tc>
          <w:tcPr>
            <w:tcW w:w="1123" w:type="dxa"/>
            <w:vMerge/>
            <w:vAlign w:val="center"/>
          </w:tcPr>
          <w:p w14:paraId="6DD3926D" w14:textId="77777777" w:rsidR="00D56E03" w:rsidRPr="00343FDF" w:rsidRDefault="00D56E03">
            <w:pPr>
              <w:spacing w:line="0" w:lineRule="atLeast"/>
              <w:jc w:val="center"/>
              <w:rPr>
                <w:rFonts w:ascii="黑体" w:eastAsia="黑体" w:hAnsi="黑体" w:cs="黑体" w:hint="eastAsia"/>
                <w:szCs w:val="21"/>
              </w:rPr>
            </w:pPr>
          </w:p>
        </w:tc>
        <w:tc>
          <w:tcPr>
            <w:tcW w:w="2307" w:type="dxa"/>
            <w:vAlign w:val="center"/>
          </w:tcPr>
          <w:p w14:paraId="68A55F20" w14:textId="77777777" w:rsidR="00D56E03" w:rsidRPr="00343FDF" w:rsidRDefault="00000000">
            <w:pPr>
              <w:spacing w:line="0" w:lineRule="atLeast"/>
              <w:jc w:val="center"/>
              <w:rPr>
                <w:rFonts w:ascii="宋体" w:eastAsia="宋体" w:hAnsi="宋体" w:cs="宋体" w:hint="eastAsia"/>
                <w:szCs w:val="21"/>
              </w:rPr>
            </w:pPr>
            <w:r w:rsidRPr="00343FDF">
              <w:rPr>
                <w:rFonts w:ascii="宋体" w:eastAsia="宋体" w:hAnsi="宋体" w:cs="宋体" w:hint="eastAsia"/>
                <w:szCs w:val="21"/>
              </w:rPr>
              <w:t>碱性废水</w:t>
            </w:r>
          </w:p>
        </w:tc>
        <w:tc>
          <w:tcPr>
            <w:tcW w:w="1680" w:type="dxa"/>
            <w:vAlign w:val="center"/>
          </w:tcPr>
          <w:p w14:paraId="2B3F2E76" w14:textId="77777777" w:rsidR="00D56E03" w:rsidRPr="00343FDF" w:rsidRDefault="00000000">
            <w:pPr>
              <w:spacing w:line="0" w:lineRule="atLeast"/>
              <w:jc w:val="left"/>
              <w:rPr>
                <w:rFonts w:ascii="宋体" w:eastAsia="宋体" w:hAnsi="宋体" w:cs="宋体" w:hint="eastAsia"/>
                <w:szCs w:val="21"/>
              </w:rPr>
            </w:pPr>
            <w:r w:rsidRPr="00343FDF">
              <w:rPr>
                <w:rFonts w:ascii="宋体" w:eastAsia="宋体" w:hAnsi="宋体" w:cs="宋体" w:hint="eastAsia"/>
                <w:szCs w:val="21"/>
              </w:rPr>
              <w:t>中和法</w:t>
            </w:r>
          </w:p>
        </w:tc>
        <w:tc>
          <w:tcPr>
            <w:tcW w:w="3412" w:type="dxa"/>
          </w:tcPr>
          <w:p w14:paraId="31E6248F" w14:textId="77777777" w:rsidR="00D56E03" w:rsidRPr="00343FDF" w:rsidRDefault="00000000">
            <w:pPr>
              <w:spacing w:line="0" w:lineRule="atLeast"/>
              <w:rPr>
                <w:rFonts w:ascii="黑体" w:eastAsia="黑体" w:hAnsi="黑体" w:cs="黑体" w:hint="eastAsia"/>
                <w:szCs w:val="21"/>
              </w:rPr>
            </w:pPr>
            <w:r w:rsidRPr="00343FDF">
              <w:rPr>
                <w:rFonts w:ascii="Times New Roman" w:eastAsia="宋体" w:hAnsi="Times New Roman" w:cs="Times New Roman"/>
                <w:szCs w:val="21"/>
              </w:rPr>
              <w:t>向</w:t>
            </w:r>
            <w:r w:rsidRPr="00343FDF">
              <w:rPr>
                <w:rFonts w:ascii="Times New Roman" w:eastAsia="宋体" w:hAnsi="Times New Roman" w:cs="Times New Roman" w:hint="eastAsia"/>
                <w:szCs w:val="21"/>
              </w:rPr>
              <w:t>碱性</w:t>
            </w:r>
            <w:r w:rsidRPr="00343FDF">
              <w:rPr>
                <w:rFonts w:ascii="Times New Roman" w:eastAsia="宋体" w:hAnsi="Times New Roman" w:cs="Times New Roman"/>
                <w:szCs w:val="21"/>
              </w:rPr>
              <w:t>废水投加药剂</w:t>
            </w:r>
            <w:r w:rsidRPr="00343FDF">
              <w:rPr>
                <w:rFonts w:ascii="Times New Roman" w:eastAsia="宋体" w:hAnsi="Times New Roman" w:cs="Times New Roman" w:hint="eastAsia"/>
                <w:szCs w:val="21"/>
              </w:rPr>
              <w:t>降低</w:t>
            </w:r>
            <w:r w:rsidRPr="00343FDF">
              <w:rPr>
                <w:rFonts w:ascii="Times New Roman" w:eastAsia="宋体" w:hAnsi="Times New Roman" w:cs="Times New Roman"/>
                <w:szCs w:val="21"/>
              </w:rPr>
              <w:t>pH</w:t>
            </w:r>
            <w:r w:rsidRPr="00343FDF">
              <w:rPr>
                <w:rFonts w:ascii="Times New Roman" w:eastAsia="宋体" w:hAnsi="Times New Roman" w:cs="Times New Roman"/>
                <w:szCs w:val="21"/>
              </w:rPr>
              <w:t>值，并与废水中的金属离子发生化学反应</w:t>
            </w:r>
            <w:r w:rsidRPr="00343FDF">
              <w:rPr>
                <w:rFonts w:ascii="Times New Roman" w:eastAsia="宋体" w:hAnsi="Times New Roman" w:cs="Times New Roman"/>
                <w:szCs w:val="21"/>
              </w:rPr>
              <w:lastRenderedPageBreak/>
              <w:t>形成沉淀，过滤沉淀达到去除污染的目的</w:t>
            </w:r>
          </w:p>
        </w:tc>
      </w:tr>
    </w:tbl>
    <w:p w14:paraId="7BF40E24" w14:textId="77777777" w:rsidR="00D56E03" w:rsidRPr="00343FDF" w:rsidRDefault="00000000">
      <w:pPr>
        <w:rPr>
          <w:rFonts w:ascii="黑体" w:eastAsia="黑体" w:hAnsi="黑体" w:cs="黑体" w:hint="eastAsia"/>
          <w:szCs w:val="21"/>
        </w:rPr>
      </w:pPr>
      <w:r w:rsidRPr="00343FDF">
        <w:rPr>
          <w:rFonts w:ascii="黑体" w:eastAsia="黑体" w:hAnsi="黑体" w:cs="黑体" w:hint="eastAsia"/>
          <w:szCs w:val="21"/>
        </w:rPr>
        <w:lastRenderedPageBreak/>
        <w:br w:type="page"/>
      </w:r>
    </w:p>
    <w:p w14:paraId="5CCF865E" w14:textId="77777777" w:rsidR="00D56E03" w:rsidRPr="00343FDF" w:rsidRDefault="00000000">
      <w:pPr>
        <w:pageBreakBefore/>
        <w:overflowPunct w:val="0"/>
        <w:adjustRightInd w:val="0"/>
        <w:snapToGrid w:val="0"/>
        <w:spacing w:afterLines="100" w:after="312"/>
        <w:jc w:val="center"/>
        <w:rPr>
          <w:rFonts w:ascii="黑体" w:eastAsia="黑体" w:hAnsi="黑体" w:cs="黑体" w:hint="eastAsia"/>
          <w:bCs/>
          <w:kern w:val="36"/>
          <w:sz w:val="24"/>
          <w:szCs w:val="24"/>
        </w:rPr>
      </w:pPr>
      <w:bookmarkStart w:id="40" w:name="_Toc13719"/>
      <w:bookmarkStart w:id="41" w:name="_Toc778_WPSOffice_Level1"/>
      <w:bookmarkStart w:id="42" w:name="_Toc18221"/>
      <w:r w:rsidRPr="00343FDF">
        <w:rPr>
          <w:rFonts w:ascii="黑体" w:eastAsia="黑体" w:hAnsi="黑体" w:cs="黑体" w:hint="eastAsia"/>
          <w:bCs/>
          <w:kern w:val="36"/>
          <w:sz w:val="24"/>
          <w:szCs w:val="24"/>
        </w:rPr>
        <w:lastRenderedPageBreak/>
        <w:t>附  录 C（资料性）</w:t>
      </w:r>
      <w:r w:rsidRPr="00343FDF">
        <w:rPr>
          <w:rFonts w:ascii="黑体" w:eastAsia="黑体" w:hAnsi="黑体" w:cs="黑体" w:hint="eastAsia"/>
          <w:bCs/>
          <w:kern w:val="36"/>
          <w:sz w:val="24"/>
          <w:szCs w:val="24"/>
        </w:rPr>
        <w:br/>
      </w:r>
      <w:bookmarkEnd w:id="40"/>
      <w:bookmarkEnd w:id="41"/>
      <w:bookmarkEnd w:id="42"/>
      <w:r w:rsidRPr="00343FDF">
        <w:rPr>
          <w:rFonts w:ascii="黑体" w:eastAsia="黑体" w:hAnsi="黑体" w:cs="黑体" w:hint="eastAsia"/>
          <w:bCs/>
          <w:kern w:val="36"/>
          <w:sz w:val="24"/>
          <w:szCs w:val="24"/>
        </w:rPr>
        <w:t>历史遗留矿山治理可行性研究报告编制</w:t>
      </w:r>
    </w:p>
    <w:p w14:paraId="2062B7C4" w14:textId="77777777" w:rsidR="00D56E03" w:rsidRPr="00343FDF" w:rsidRDefault="00000000">
      <w:pPr>
        <w:pStyle w:val="a"/>
        <w:spacing w:before="312" w:after="312"/>
      </w:pPr>
      <w:bookmarkStart w:id="43" w:name="_Toc28074"/>
      <w:r w:rsidRPr="00343FDF">
        <w:rPr>
          <w:rFonts w:hint="eastAsia"/>
        </w:rPr>
        <w:t>项目概况</w:t>
      </w:r>
      <w:bookmarkEnd w:id="43"/>
    </w:p>
    <w:p w14:paraId="06309819" w14:textId="77777777" w:rsidR="00D56E03" w:rsidRPr="00343FDF" w:rsidRDefault="00000000">
      <w:pPr>
        <w:pStyle w:val="a"/>
        <w:spacing w:before="312" w:after="312"/>
      </w:pPr>
      <w:bookmarkStart w:id="44" w:name="_Toc21827"/>
      <w:r w:rsidRPr="00343FDF">
        <w:rPr>
          <w:rFonts w:hint="eastAsia"/>
        </w:rPr>
        <w:t>区域经济社会和环境概况</w:t>
      </w:r>
      <w:bookmarkEnd w:id="44"/>
    </w:p>
    <w:p w14:paraId="1147ABE9" w14:textId="77777777" w:rsidR="00D56E03" w:rsidRPr="00343FDF" w:rsidRDefault="00000000">
      <w:pPr>
        <w:pStyle w:val="a"/>
        <w:spacing w:before="312" w:after="312"/>
      </w:pPr>
      <w:bookmarkStart w:id="45" w:name="_Toc15437"/>
      <w:r w:rsidRPr="00343FDF">
        <w:rPr>
          <w:rFonts w:hint="eastAsia"/>
        </w:rPr>
        <w:t>矿产资源开发和利用现状</w:t>
      </w:r>
      <w:bookmarkEnd w:id="45"/>
    </w:p>
    <w:p w14:paraId="059ABF4C" w14:textId="77777777" w:rsidR="00D56E03" w:rsidRPr="00343FDF" w:rsidRDefault="00000000">
      <w:pPr>
        <w:pStyle w:val="a"/>
        <w:spacing w:before="312" w:after="312"/>
      </w:pPr>
      <w:bookmarkStart w:id="46" w:name="_Toc30876"/>
      <w:r w:rsidRPr="00343FDF">
        <w:rPr>
          <w:rFonts w:hint="eastAsia"/>
        </w:rPr>
        <w:t>调查与评估</w:t>
      </w:r>
      <w:bookmarkEnd w:id="46"/>
    </w:p>
    <w:p w14:paraId="1CA97C30" w14:textId="77777777" w:rsidR="00D56E03" w:rsidRPr="00343FDF" w:rsidRDefault="00000000">
      <w:pPr>
        <w:pStyle w:val="a"/>
        <w:spacing w:before="312" w:after="312"/>
      </w:pPr>
      <w:bookmarkStart w:id="47" w:name="_Toc20119"/>
      <w:r w:rsidRPr="00343FDF">
        <w:rPr>
          <w:rFonts w:hint="eastAsia"/>
        </w:rPr>
        <w:t>区域、矿点风险分区和评价</w:t>
      </w:r>
      <w:bookmarkEnd w:id="47"/>
    </w:p>
    <w:p w14:paraId="2D0DEC0B" w14:textId="77777777" w:rsidR="00D56E03" w:rsidRPr="00343FDF" w:rsidRDefault="00000000">
      <w:pPr>
        <w:pStyle w:val="a"/>
        <w:spacing w:before="312" w:after="312"/>
      </w:pPr>
      <w:bookmarkStart w:id="48" w:name="_Toc20069"/>
      <w:r w:rsidRPr="00343FDF">
        <w:rPr>
          <w:rFonts w:hint="eastAsia"/>
        </w:rPr>
        <w:t>污染防治思路与目标</w:t>
      </w:r>
      <w:bookmarkEnd w:id="48"/>
    </w:p>
    <w:p w14:paraId="0A253B17" w14:textId="77777777" w:rsidR="00D56E03" w:rsidRPr="00343FDF" w:rsidRDefault="00000000">
      <w:pPr>
        <w:pStyle w:val="a"/>
        <w:spacing w:before="312" w:after="312"/>
      </w:pPr>
      <w:bookmarkStart w:id="49" w:name="_Toc8814"/>
      <w:r w:rsidRPr="00343FDF">
        <w:rPr>
          <w:rFonts w:hint="eastAsia"/>
        </w:rPr>
        <w:t>工程选址与要素保障</w:t>
      </w:r>
      <w:bookmarkEnd w:id="49"/>
    </w:p>
    <w:p w14:paraId="515893B5" w14:textId="77777777" w:rsidR="00D56E03" w:rsidRPr="00343FDF" w:rsidRDefault="00000000">
      <w:pPr>
        <w:pStyle w:val="a"/>
        <w:spacing w:before="312" w:after="312"/>
      </w:pPr>
      <w:bookmarkStart w:id="50" w:name="_Toc25060"/>
      <w:r w:rsidRPr="00343FDF">
        <w:rPr>
          <w:rFonts w:hint="eastAsia"/>
        </w:rPr>
        <w:t>污染防治工程技术方案</w:t>
      </w:r>
      <w:bookmarkEnd w:id="50"/>
    </w:p>
    <w:p w14:paraId="4E2762FD" w14:textId="77777777" w:rsidR="00D56E03" w:rsidRPr="00343FDF" w:rsidRDefault="00000000">
      <w:pPr>
        <w:pStyle w:val="a"/>
        <w:spacing w:before="312" w:after="312"/>
      </w:pPr>
      <w:bookmarkStart w:id="51" w:name="_Toc3837"/>
      <w:r w:rsidRPr="00343FDF">
        <w:rPr>
          <w:rFonts w:hint="eastAsia"/>
        </w:rPr>
        <w:t>保障措施与跟踪评价</w:t>
      </w:r>
      <w:bookmarkEnd w:id="51"/>
    </w:p>
    <w:p w14:paraId="580D74C0" w14:textId="77777777" w:rsidR="00D56E03" w:rsidRPr="00343FDF" w:rsidRDefault="00000000">
      <w:pPr>
        <w:pStyle w:val="a"/>
        <w:spacing w:before="312" w:after="312"/>
      </w:pPr>
      <w:bookmarkStart w:id="52" w:name="_Toc10931"/>
      <w:r w:rsidRPr="00343FDF">
        <w:rPr>
          <w:rFonts w:hint="eastAsia"/>
        </w:rPr>
        <w:t>效益分析</w:t>
      </w:r>
      <w:bookmarkEnd w:id="52"/>
    </w:p>
    <w:p w14:paraId="1744D8B9" w14:textId="77777777" w:rsidR="00D56E03" w:rsidRPr="00343FDF" w:rsidRDefault="00000000">
      <w:pPr>
        <w:pStyle w:val="a"/>
        <w:spacing w:before="312" w:after="312"/>
      </w:pPr>
      <w:bookmarkStart w:id="53" w:name="_Toc32319"/>
      <w:r w:rsidRPr="00343FDF">
        <w:rPr>
          <w:rFonts w:hint="eastAsia"/>
        </w:rPr>
        <w:t>结论和建议</w:t>
      </w:r>
      <w:bookmarkEnd w:id="53"/>
    </w:p>
    <w:p w14:paraId="473AE50F" w14:textId="77777777" w:rsidR="00D56E03" w:rsidRPr="00343FDF" w:rsidRDefault="00000000">
      <w:pPr>
        <w:pStyle w:val="a"/>
        <w:spacing w:before="312" w:after="312"/>
      </w:pPr>
      <w:bookmarkStart w:id="54" w:name="_Toc8317"/>
      <w:r w:rsidRPr="00343FDF">
        <w:rPr>
          <w:rFonts w:hint="eastAsia"/>
        </w:rPr>
        <w:t>附件与附图</w:t>
      </w:r>
      <w:bookmarkEnd w:id="54"/>
    </w:p>
    <w:p w14:paraId="39723E9A" w14:textId="77777777" w:rsidR="00D56E03" w:rsidRPr="00343FDF" w:rsidRDefault="00D56E03">
      <w:pPr>
        <w:pStyle w:val="ae"/>
      </w:pPr>
    </w:p>
    <w:p w14:paraId="6ED85EBA" w14:textId="77777777" w:rsidR="00D56E03" w:rsidRPr="00343FDF" w:rsidRDefault="00D56E03">
      <w:pPr>
        <w:pStyle w:val="ae"/>
      </w:pPr>
    </w:p>
    <w:p w14:paraId="7DB6FC07" w14:textId="77777777" w:rsidR="00D56E03" w:rsidRPr="00343FDF" w:rsidRDefault="00D56E03">
      <w:pPr>
        <w:pStyle w:val="ae"/>
      </w:pPr>
    </w:p>
    <w:p w14:paraId="6FEF9F7C" w14:textId="77777777" w:rsidR="00D56E03" w:rsidRPr="00343FDF" w:rsidRDefault="00D56E03">
      <w:pPr>
        <w:pStyle w:val="ae"/>
      </w:pPr>
    </w:p>
    <w:p w14:paraId="56C65D7E" w14:textId="77777777" w:rsidR="00D56E03" w:rsidRPr="00343FDF" w:rsidRDefault="00D56E03">
      <w:pPr>
        <w:pStyle w:val="ae"/>
      </w:pPr>
    </w:p>
    <w:p w14:paraId="12FD97F2" w14:textId="77777777" w:rsidR="00D56E03" w:rsidRPr="00343FDF" w:rsidRDefault="00D56E03">
      <w:pPr>
        <w:pStyle w:val="ae"/>
      </w:pPr>
    </w:p>
    <w:p w14:paraId="25BAEB58" w14:textId="77777777" w:rsidR="00D56E03" w:rsidRPr="00343FDF" w:rsidRDefault="00D56E03">
      <w:pPr>
        <w:pStyle w:val="ae"/>
      </w:pPr>
    </w:p>
    <w:p w14:paraId="0EE34CF0" w14:textId="77777777" w:rsidR="00D56E03" w:rsidRPr="00343FDF" w:rsidRDefault="00D56E03">
      <w:pPr>
        <w:pStyle w:val="ae"/>
      </w:pPr>
    </w:p>
    <w:p w14:paraId="410B4EFB" w14:textId="77777777" w:rsidR="00D56E03" w:rsidRPr="00343FDF" w:rsidRDefault="00D56E03">
      <w:pPr>
        <w:pStyle w:val="ae"/>
      </w:pPr>
    </w:p>
    <w:p w14:paraId="69E1CB12" w14:textId="77777777" w:rsidR="00D56E03" w:rsidRPr="00343FDF" w:rsidRDefault="00D56E03">
      <w:pPr>
        <w:pStyle w:val="ae"/>
      </w:pPr>
    </w:p>
    <w:p w14:paraId="16387438" w14:textId="77777777" w:rsidR="00D56E03" w:rsidRPr="00343FDF" w:rsidRDefault="00D56E03">
      <w:pPr>
        <w:pStyle w:val="ae"/>
      </w:pPr>
    </w:p>
    <w:p w14:paraId="0ECF336E" w14:textId="77777777" w:rsidR="00D56E03" w:rsidRPr="00343FDF" w:rsidRDefault="00D56E03">
      <w:pPr>
        <w:pStyle w:val="ae"/>
      </w:pPr>
    </w:p>
    <w:p w14:paraId="3DF4C772" w14:textId="77777777" w:rsidR="00D56E03" w:rsidRPr="00343FDF" w:rsidRDefault="00D56E03">
      <w:pPr>
        <w:pStyle w:val="ae"/>
      </w:pPr>
    </w:p>
    <w:p w14:paraId="72943B00" w14:textId="77777777" w:rsidR="00D56E03" w:rsidRPr="00343FDF" w:rsidRDefault="00000000">
      <w:pPr>
        <w:pStyle w:val="1"/>
        <w:numPr>
          <w:ilvl w:val="0"/>
          <w:numId w:val="2"/>
        </w:numPr>
        <w:spacing w:line="240" w:lineRule="auto"/>
        <w:rPr>
          <w:rFonts w:ascii="黑体" w:eastAsia="黑体" w:hAnsi="黑体" w:hint="eastAsia"/>
          <w:sz w:val="32"/>
          <w:szCs w:val="32"/>
        </w:rPr>
      </w:pPr>
      <w:bookmarkStart w:id="55" w:name="_Toc28750"/>
      <w:r w:rsidRPr="00343FDF">
        <w:rPr>
          <w:rFonts w:ascii="黑体" w:eastAsia="黑体" w:hAnsi="黑体" w:hint="eastAsia"/>
          <w:sz w:val="32"/>
          <w:szCs w:val="32"/>
        </w:rPr>
        <w:lastRenderedPageBreak/>
        <w:t>重大分歧意见处理</w:t>
      </w:r>
      <w:bookmarkEnd w:id="55"/>
    </w:p>
    <w:p w14:paraId="3BA85FFE"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技术指南制定过程中无重大分歧意见。</w:t>
      </w:r>
    </w:p>
    <w:p w14:paraId="457769D1" w14:textId="77777777" w:rsidR="00D56E03" w:rsidRPr="00343FDF" w:rsidRDefault="00000000">
      <w:pPr>
        <w:pStyle w:val="1"/>
        <w:numPr>
          <w:ilvl w:val="0"/>
          <w:numId w:val="2"/>
        </w:numPr>
        <w:spacing w:line="240" w:lineRule="auto"/>
        <w:rPr>
          <w:rFonts w:ascii="黑体" w:eastAsia="黑体" w:hAnsi="黑体" w:hint="eastAsia"/>
          <w:sz w:val="32"/>
          <w:szCs w:val="32"/>
        </w:rPr>
      </w:pPr>
      <w:bookmarkStart w:id="56" w:name="_Toc30121"/>
      <w:r w:rsidRPr="00343FDF">
        <w:rPr>
          <w:rFonts w:ascii="黑体" w:eastAsia="黑体" w:hAnsi="黑体" w:hint="eastAsia"/>
          <w:sz w:val="32"/>
          <w:szCs w:val="32"/>
        </w:rPr>
        <w:t>涉及专利的有关说明</w:t>
      </w:r>
      <w:bookmarkEnd w:id="56"/>
    </w:p>
    <w:p w14:paraId="112348E7"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技术指南内容不涉及专利。</w:t>
      </w:r>
    </w:p>
    <w:p w14:paraId="11B06E75" w14:textId="77777777" w:rsidR="00D56E03" w:rsidRPr="00343FDF" w:rsidRDefault="00000000">
      <w:pPr>
        <w:pStyle w:val="1"/>
        <w:numPr>
          <w:ilvl w:val="0"/>
          <w:numId w:val="2"/>
        </w:numPr>
        <w:spacing w:line="240" w:lineRule="auto"/>
        <w:rPr>
          <w:rFonts w:ascii="黑体" w:eastAsia="黑体" w:hAnsi="黑体" w:hint="eastAsia"/>
          <w:sz w:val="32"/>
          <w:szCs w:val="32"/>
        </w:rPr>
      </w:pPr>
      <w:bookmarkStart w:id="57" w:name="_Toc32224"/>
      <w:r w:rsidRPr="00343FDF">
        <w:rPr>
          <w:rFonts w:ascii="黑体" w:eastAsia="黑体" w:hAnsi="黑体" w:hint="eastAsia"/>
          <w:sz w:val="32"/>
          <w:szCs w:val="32"/>
        </w:rPr>
        <w:t>实施标准的要求，以及组织措施、技术措施、过渡期和实施日期的建议等措施建议</w:t>
      </w:r>
      <w:bookmarkEnd w:id="57"/>
    </w:p>
    <w:p w14:paraId="388A3C3F"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本技术指南为地方推荐性标准，用于指导技术单位制定涉金属历史遗留矿山治理实施方案、可行性研究、区域综合整治规划等技术文件时使用，同时指导管理部门开展实施方案、可行性研究、整治规划的审批时作为技术参考和借鉴的技术性文件。</w:t>
      </w:r>
    </w:p>
    <w:p w14:paraId="2A360A24"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sz w:val="30"/>
          <w:szCs w:val="30"/>
        </w:rPr>
        <w:t>经</w:t>
      </w:r>
      <w:r w:rsidRPr="00343FDF">
        <w:rPr>
          <w:rFonts w:ascii="仿宋_GB2312" w:eastAsia="仿宋_GB2312" w:hAnsi="仿宋_GB2312" w:cs="仿宋_GB2312" w:hint="eastAsia"/>
          <w:sz w:val="30"/>
          <w:szCs w:val="30"/>
        </w:rPr>
        <w:t>陕西省市场监督管理局</w:t>
      </w:r>
      <w:r w:rsidRPr="00343FDF">
        <w:rPr>
          <w:rFonts w:ascii="仿宋_GB2312" w:eastAsia="仿宋_GB2312" w:hAnsi="仿宋_GB2312" w:cs="仿宋_GB2312"/>
          <w:sz w:val="30"/>
          <w:szCs w:val="30"/>
        </w:rPr>
        <w:t>审核批准后，建议作为推荐性</w:t>
      </w:r>
      <w:r w:rsidRPr="00343FDF">
        <w:rPr>
          <w:rFonts w:ascii="仿宋_GB2312" w:eastAsia="仿宋_GB2312" w:hAnsi="仿宋_GB2312" w:cs="仿宋_GB2312" w:hint="eastAsia"/>
          <w:sz w:val="30"/>
          <w:szCs w:val="30"/>
        </w:rPr>
        <w:t>地方</w:t>
      </w:r>
      <w:r w:rsidRPr="00343FDF">
        <w:rPr>
          <w:rFonts w:ascii="仿宋_GB2312" w:eastAsia="仿宋_GB2312" w:hAnsi="仿宋_GB2312" w:cs="仿宋_GB2312"/>
          <w:sz w:val="30"/>
          <w:szCs w:val="30"/>
        </w:rPr>
        <w:t>标准发布，自发布之日起</w:t>
      </w:r>
      <w:r w:rsidRPr="00343FDF">
        <w:rPr>
          <w:rFonts w:ascii="仿宋_GB2312" w:eastAsia="仿宋_GB2312" w:hAnsi="仿宋_GB2312" w:cs="仿宋_GB2312" w:hint="eastAsia"/>
          <w:sz w:val="30"/>
          <w:szCs w:val="30"/>
        </w:rPr>
        <w:t xml:space="preserve">3个月后实施，以便相关监督部门、技术机构提前做好准备。 </w:t>
      </w:r>
    </w:p>
    <w:p w14:paraId="762FC4F7" w14:textId="77777777" w:rsidR="00D56E03" w:rsidRPr="00343FDF" w:rsidRDefault="00000000">
      <w:pPr>
        <w:pStyle w:val="1"/>
        <w:numPr>
          <w:ilvl w:val="0"/>
          <w:numId w:val="2"/>
        </w:numPr>
        <w:spacing w:line="240" w:lineRule="auto"/>
        <w:rPr>
          <w:rFonts w:ascii="黑体" w:eastAsia="黑体" w:hAnsi="黑体" w:hint="eastAsia"/>
          <w:sz w:val="32"/>
          <w:szCs w:val="32"/>
        </w:rPr>
      </w:pPr>
      <w:bookmarkStart w:id="58" w:name="_Toc30809"/>
      <w:r w:rsidRPr="00343FDF">
        <w:rPr>
          <w:rFonts w:ascii="黑体" w:eastAsia="黑体" w:hAnsi="黑体" w:hint="eastAsia"/>
          <w:sz w:val="32"/>
          <w:szCs w:val="32"/>
        </w:rPr>
        <w:t>其他需要说明的事项</w:t>
      </w:r>
      <w:bookmarkEnd w:id="58"/>
    </w:p>
    <w:p w14:paraId="21A43949" w14:textId="77777777" w:rsidR="00D56E03" w:rsidRPr="00343FDF" w:rsidRDefault="00000000">
      <w:pPr>
        <w:ind w:firstLineChars="200" w:firstLine="600"/>
        <w:rPr>
          <w:rFonts w:ascii="仿宋_GB2312" w:eastAsia="仿宋_GB2312" w:hAnsi="仿宋_GB2312" w:cs="仿宋_GB2312" w:hint="eastAsia"/>
          <w:sz w:val="30"/>
          <w:szCs w:val="30"/>
        </w:rPr>
      </w:pPr>
      <w:r w:rsidRPr="00343FDF">
        <w:rPr>
          <w:rFonts w:ascii="仿宋_GB2312" w:eastAsia="仿宋_GB2312" w:hAnsi="仿宋_GB2312" w:cs="仿宋_GB2312" w:hint="eastAsia"/>
          <w:sz w:val="30"/>
          <w:szCs w:val="30"/>
        </w:rPr>
        <w:t>无。</w:t>
      </w:r>
    </w:p>
    <w:p w14:paraId="34365B3F" w14:textId="77777777" w:rsidR="00D56E03" w:rsidRPr="00343FDF" w:rsidRDefault="00D56E03">
      <w:pPr>
        <w:rPr>
          <w:rFonts w:ascii="黑体" w:eastAsia="黑体" w:hAnsi="黑体" w:hint="eastAsia"/>
          <w:sz w:val="32"/>
          <w:szCs w:val="32"/>
        </w:rPr>
      </w:pPr>
    </w:p>
    <w:p w14:paraId="24573C6E" w14:textId="77777777" w:rsidR="00D56E03" w:rsidRPr="00343FDF" w:rsidRDefault="00000000">
      <w:pPr>
        <w:rPr>
          <w:rFonts w:ascii="黑体" w:eastAsia="黑体" w:hAnsi="黑体" w:hint="eastAsia"/>
          <w:sz w:val="32"/>
          <w:szCs w:val="32"/>
        </w:rPr>
      </w:pPr>
      <w:r w:rsidRPr="00343FDF">
        <w:rPr>
          <w:rFonts w:ascii="黑体" w:eastAsia="黑体" w:hAnsi="黑体" w:hint="eastAsia"/>
          <w:sz w:val="32"/>
          <w:szCs w:val="32"/>
        </w:rPr>
        <w:t xml:space="preserve">                                         标准起草组</w:t>
      </w:r>
    </w:p>
    <w:p w14:paraId="41B618CF" w14:textId="77777777" w:rsidR="00D56E03" w:rsidRPr="00343FDF" w:rsidRDefault="00000000">
      <w:pPr>
        <w:ind w:firstLineChars="2000" w:firstLine="6400"/>
        <w:rPr>
          <w:rFonts w:ascii="黑体" w:eastAsia="黑体" w:hAnsi="黑体" w:hint="eastAsia"/>
          <w:sz w:val="32"/>
          <w:szCs w:val="32"/>
        </w:rPr>
      </w:pPr>
      <w:r w:rsidRPr="00343FDF">
        <w:rPr>
          <w:rFonts w:ascii="黑体" w:eastAsia="黑体" w:hAnsi="黑体" w:hint="eastAsia"/>
          <w:sz w:val="32"/>
          <w:szCs w:val="32"/>
        </w:rPr>
        <w:t>2025年4月</w:t>
      </w:r>
    </w:p>
    <w:sectPr w:rsidR="00D56E03" w:rsidRPr="00343FDF">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2C15C" w14:textId="77777777" w:rsidR="00BC4F65" w:rsidRDefault="00BC4F65">
      <w:r>
        <w:separator/>
      </w:r>
    </w:p>
  </w:endnote>
  <w:endnote w:type="continuationSeparator" w:id="0">
    <w:p w14:paraId="62623664" w14:textId="77777777" w:rsidR="00BC4F65" w:rsidRDefault="00BC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5025338"/>
    </w:sdtPr>
    <w:sdtEndPr>
      <w:rPr>
        <w:rFonts w:asciiTheme="minorEastAsia" w:hAnsiTheme="minorEastAsia"/>
      </w:rPr>
    </w:sdtEndPr>
    <w:sdtContent>
      <w:p w14:paraId="040D15A1" w14:textId="77777777" w:rsidR="00D56E03" w:rsidRDefault="00000000">
        <w:pPr>
          <w:pStyle w:val="a6"/>
          <w:jc w:val="center"/>
          <w:rPr>
            <w:rFonts w:asciiTheme="minorEastAsia" w:hAnsiTheme="minorEastAsia" w:hint="eastAsia"/>
          </w:rPr>
        </w:pPr>
        <w:r>
          <w:rPr>
            <w:rFonts w:asciiTheme="minorEastAsia" w:hAnsiTheme="minorEastAsia"/>
          </w:rPr>
          <w:fldChar w:fldCharType="begin"/>
        </w:r>
        <w:r>
          <w:rPr>
            <w:rFonts w:asciiTheme="minorEastAsia" w:hAnsiTheme="minorEastAsia"/>
          </w:rPr>
          <w:instrText>PAGE   \* MERGEFORMAT</w:instrText>
        </w:r>
        <w:r>
          <w:rPr>
            <w:rFonts w:asciiTheme="minorEastAsia" w:hAnsiTheme="minorEastAsia"/>
          </w:rPr>
          <w:fldChar w:fldCharType="separate"/>
        </w:r>
        <w:r>
          <w:rPr>
            <w:rFonts w:asciiTheme="minorEastAsia" w:hAnsiTheme="minorEastAsia"/>
            <w:lang w:val="zh-CN"/>
          </w:rPr>
          <w:t>2</w:t>
        </w:r>
        <w:r>
          <w:rPr>
            <w:rFonts w:asciiTheme="minorEastAsia" w:hAnsiTheme="minorEastAsia"/>
          </w:rPr>
          <w:fldChar w:fldCharType="end"/>
        </w:r>
      </w:p>
    </w:sdtContent>
  </w:sdt>
  <w:p w14:paraId="0503751E" w14:textId="77777777" w:rsidR="00D56E03" w:rsidRDefault="00D56E0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CCBD6" w14:textId="77777777" w:rsidR="00BC4F65" w:rsidRDefault="00BC4F65">
      <w:r>
        <w:separator/>
      </w:r>
    </w:p>
  </w:footnote>
  <w:footnote w:type="continuationSeparator" w:id="0">
    <w:p w14:paraId="2BD30AFB" w14:textId="77777777" w:rsidR="00BC4F65" w:rsidRDefault="00BC4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122DEE"/>
    <w:multiLevelType w:val="singleLevel"/>
    <w:tmpl w:val="84122DEE"/>
    <w:lvl w:ilvl="0">
      <w:start w:val="4"/>
      <w:numFmt w:val="decimal"/>
      <w:suff w:val="nothing"/>
      <w:lvlText w:val="%1、"/>
      <w:lvlJc w:val="left"/>
    </w:lvl>
  </w:abstractNum>
  <w:abstractNum w:abstractNumId="1"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16cid:durableId="351034271">
    <w:abstractNumId w:val="1"/>
  </w:num>
  <w:num w:numId="2" w16cid:durableId="1264412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UwMjQzM2ZkMDFjZWZjN2ZkNjQzNTBmNDNlZDRkYWYifQ=="/>
  </w:docVars>
  <w:rsids>
    <w:rsidRoot w:val="00172A27"/>
    <w:rsid w:val="0000235C"/>
    <w:rsid w:val="00002E4B"/>
    <w:rsid w:val="00011833"/>
    <w:rsid w:val="000176C4"/>
    <w:rsid w:val="00023434"/>
    <w:rsid w:val="000263F8"/>
    <w:rsid w:val="00031BFC"/>
    <w:rsid w:val="00031C4A"/>
    <w:rsid w:val="0003687E"/>
    <w:rsid w:val="00046A74"/>
    <w:rsid w:val="00052DF6"/>
    <w:rsid w:val="000605E6"/>
    <w:rsid w:val="000606CF"/>
    <w:rsid w:val="00067ABC"/>
    <w:rsid w:val="0007080B"/>
    <w:rsid w:val="000732B8"/>
    <w:rsid w:val="00075376"/>
    <w:rsid w:val="00076CE4"/>
    <w:rsid w:val="0007714F"/>
    <w:rsid w:val="0008744D"/>
    <w:rsid w:val="00087FBD"/>
    <w:rsid w:val="000904DA"/>
    <w:rsid w:val="0009361C"/>
    <w:rsid w:val="000A7983"/>
    <w:rsid w:val="000C2FA3"/>
    <w:rsid w:val="000C47B7"/>
    <w:rsid w:val="000C640D"/>
    <w:rsid w:val="000C70D8"/>
    <w:rsid w:val="000D4B2F"/>
    <w:rsid w:val="000D4DD9"/>
    <w:rsid w:val="000E1F6A"/>
    <w:rsid w:val="000F204F"/>
    <w:rsid w:val="000F226B"/>
    <w:rsid w:val="00105C30"/>
    <w:rsid w:val="001115B4"/>
    <w:rsid w:val="00111FC2"/>
    <w:rsid w:val="00131D28"/>
    <w:rsid w:val="001353F5"/>
    <w:rsid w:val="001362C5"/>
    <w:rsid w:val="00151396"/>
    <w:rsid w:val="00153D61"/>
    <w:rsid w:val="00167DBF"/>
    <w:rsid w:val="00172A27"/>
    <w:rsid w:val="0017380D"/>
    <w:rsid w:val="0017430F"/>
    <w:rsid w:val="00184190"/>
    <w:rsid w:val="00191B8E"/>
    <w:rsid w:val="00194A72"/>
    <w:rsid w:val="00195B62"/>
    <w:rsid w:val="001C1060"/>
    <w:rsid w:val="001E1215"/>
    <w:rsid w:val="001E1D2E"/>
    <w:rsid w:val="001E6E97"/>
    <w:rsid w:val="001E76B8"/>
    <w:rsid w:val="001F3676"/>
    <w:rsid w:val="001F5C1C"/>
    <w:rsid w:val="00205F5C"/>
    <w:rsid w:val="00213C37"/>
    <w:rsid w:val="002178F9"/>
    <w:rsid w:val="00221296"/>
    <w:rsid w:val="00221383"/>
    <w:rsid w:val="002226CF"/>
    <w:rsid w:val="00223CB5"/>
    <w:rsid w:val="002247B0"/>
    <w:rsid w:val="002304F4"/>
    <w:rsid w:val="002412EE"/>
    <w:rsid w:val="00245D35"/>
    <w:rsid w:val="002572F1"/>
    <w:rsid w:val="0025753F"/>
    <w:rsid w:val="002738F3"/>
    <w:rsid w:val="002739C4"/>
    <w:rsid w:val="00275826"/>
    <w:rsid w:val="002768AD"/>
    <w:rsid w:val="00281C8E"/>
    <w:rsid w:val="00292300"/>
    <w:rsid w:val="002940C2"/>
    <w:rsid w:val="0029582D"/>
    <w:rsid w:val="002971B7"/>
    <w:rsid w:val="00297257"/>
    <w:rsid w:val="002A33FA"/>
    <w:rsid w:val="002A5D3A"/>
    <w:rsid w:val="002B3234"/>
    <w:rsid w:val="002C20FF"/>
    <w:rsid w:val="002D0147"/>
    <w:rsid w:val="002D206E"/>
    <w:rsid w:val="002D299E"/>
    <w:rsid w:val="002D3466"/>
    <w:rsid w:val="002D7045"/>
    <w:rsid w:val="002E441A"/>
    <w:rsid w:val="002E61C6"/>
    <w:rsid w:val="002F2FD9"/>
    <w:rsid w:val="002F4264"/>
    <w:rsid w:val="003175F4"/>
    <w:rsid w:val="003216BB"/>
    <w:rsid w:val="00323024"/>
    <w:rsid w:val="00331233"/>
    <w:rsid w:val="00334817"/>
    <w:rsid w:val="00336CB8"/>
    <w:rsid w:val="00343FDF"/>
    <w:rsid w:val="0034668C"/>
    <w:rsid w:val="003517C2"/>
    <w:rsid w:val="00370373"/>
    <w:rsid w:val="003703C3"/>
    <w:rsid w:val="003719CD"/>
    <w:rsid w:val="003A57B5"/>
    <w:rsid w:val="003B1448"/>
    <w:rsid w:val="003B4597"/>
    <w:rsid w:val="003C5EDB"/>
    <w:rsid w:val="003D222E"/>
    <w:rsid w:val="003D2CF1"/>
    <w:rsid w:val="003D5750"/>
    <w:rsid w:val="003D67DB"/>
    <w:rsid w:val="003F7B13"/>
    <w:rsid w:val="00401CC2"/>
    <w:rsid w:val="00402D3A"/>
    <w:rsid w:val="00406288"/>
    <w:rsid w:val="00413DAC"/>
    <w:rsid w:val="00417A95"/>
    <w:rsid w:val="00420A03"/>
    <w:rsid w:val="00421F53"/>
    <w:rsid w:val="0042266E"/>
    <w:rsid w:val="00427334"/>
    <w:rsid w:val="00441A73"/>
    <w:rsid w:val="00443AF8"/>
    <w:rsid w:val="00454B4A"/>
    <w:rsid w:val="00472240"/>
    <w:rsid w:val="0047685A"/>
    <w:rsid w:val="00481E76"/>
    <w:rsid w:val="004845BA"/>
    <w:rsid w:val="00484CDB"/>
    <w:rsid w:val="00492138"/>
    <w:rsid w:val="004965F1"/>
    <w:rsid w:val="004B4A6E"/>
    <w:rsid w:val="004D6034"/>
    <w:rsid w:val="004D6C7A"/>
    <w:rsid w:val="004D71A8"/>
    <w:rsid w:val="004E11C9"/>
    <w:rsid w:val="004F2DA0"/>
    <w:rsid w:val="004F519E"/>
    <w:rsid w:val="00504F9D"/>
    <w:rsid w:val="005071F2"/>
    <w:rsid w:val="00520F40"/>
    <w:rsid w:val="0052406D"/>
    <w:rsid w:val="00527EA3"/>
    <w:rsid w:val="00531E4D"/>
    <w:rsid w:val="005323E3"/>
    <w:rsid w:val="0053454B"/>
    <w:rsid w:val="0053491D"/>
    <w:rsid w:val="00535944"/>
    <w:rsid w:val="005376E1"/>
    <w:rsid w:val="00543B95"/>
    <w:rsid w:val="005471C0"/>
    <w:rsid w:val="005602B8"/>
    <w:rsid w:val="00562E82"/>
    <w:rsid w:val="005631D1"/>
    <w:rsid w:val="0058642C"/>
    <w:rsid w:val="00594A5C"/>
    <w:rsid w:val="00595379"/>
    <w:rsid w:val="00595D37"/>
    <w:rsid w:val="005A2A73"/>
    <w:rsid w:val="005A4C0D"/>
    <w:rsid w:val="005B3FDB"/>
    <w:rsid w:val="005B4AF4"/>
    <w:rsid w:val="005C26FD"/>
    <w:rsid w:val="005C50CD"/>
    <w:rsid w:val="005C52A9"/>
    <w:rsid w:val="005D4BC3"/>
    <w:rsid w:val="005D68C6"/>
    <w:rsid w:val="005E2C6F"/>
    <w:rsid w:val="005F282E"/>
    <w:rsid w:val="005F3E7B"/>
    <w:rsid w:val="005F6139"/>
    <w:rsid w:val="005F794A"/>
    <w:rsid w:val="006032FB"/>
    <w:rsid w:val="00606DE6"/>
    <w:rsid w:val="00606E3E"/>
    <w:rsid w:val="006103B3"/>
    <w:rsid w:val="00610C85"/>
    <w:rsid w:val="00610CE7"/>
    <w:rsid w:val="00611787"/>
    <w:rsid w:val="006229AD"/>
    <w:rsid w:val="00636882"/>
    <w:rsid w:val="00640648"/>
    <w:rsid w:val="0064786E"/>
    <w:rsid w:val="006620C0"/>
    <w:rsid w:val="00666C92"/>
    <w:rsid w:val="00675D26"/>
    <w:rsid w:val="00676358"/>
    <w:rsid w:val="00680660"/>
    <w:rsid w:val="006901A1"/>
    <w:rsid w:val="0069596D"/>
    <w:rsid w:val="00695BE5"/>
    <w:rsid w:val="006B396A"/>
    <w:rsid w:val="006D2631"/>
    <w:rsid w:val="006D2AA2"/>
    <w:rsid w:val="006D2BDC"/>
    <w:rsid w:val="006D4C3B"/>
    <w:rsid w:val="006D552A"/>
    <w:rsid w:val="006D764D"/>
    <w:rsid w:val="006E30FD"/>
    <w:rsid w:val="006F373D"/>
    <w:rsid w:val="006F7FE5"/>
    <w:rsid w:val="007110BB"/>
    <w:rsid w:val="00711C08"/>
    <w:rsid w:val="007122B3"/>
    <w:rsid w:val="007125A7"/>
    <w:rsid w:val="00740274"/>
    <w:rsid w:val="007406D2"/>
    <w:rsid w:val="0074115B"/>
    <w:rsid w:val="0074179A"/>
    <w:rsid w:val="0076119E"/>
    <w:rsid w:val="00761660"/>
    <w:rsid w:val="007664F9"/>
    <w:rsid w:val="00777447"/>
    <w:rsid w:val="0077759D"/>
    <w:rsid w:val="007829AA"/>
    <w:rsid w:val="00785632"/>
    <w:rsid w:val="00793410"/>
    <w:rsid w:val="00795B0C"/>
    <w:rsid w:val="007961DE"/>
    <w:rsid w:val="007A0EE9"/>
    <w:rsid w:val="007A117D"/>
    <w:rsid w:val="007A78FC"/>
    <w:rsid w:val="007B0B04"/>
    <w:rsid w:val="007B0F18"/>
    <w:rsid w:val="007B16BA"/>
    <w:rsid w:val="007B2930"/>
    <w:rsid w:val="007C1CD8"/>
    <w:rsid w:val="007C3058"/>
    <w:rsid w:val="007C312C"/>
    <w:rsid w:val="007C37A3"/>
    <w:rsid w:val="007C69CA"/>
    <w:rsid w:val="007D31E5"/>
    <w:rsid w:val="007D356A"/>
    <w:rsid w:val="007E0CDB"/>
    <w:rsid w:val="007E59DA"/>
    <w:rsid w:val="007F1F3E"/>
    <w:rsid w:val="007F2B5E"/>
    <w:rsid w:val="008041C3"/>
    <w:rsid w:val="008053ED"/>
    <w:rsid w:val="008112AA"/>
    <w:rsid w:val="00816628"/>
    <w:rsid w:val="00820528"/>
    <w:rsid w:val="00824D5D"/>
    <w:rsid w:val="00831075"/>
    <w:rsid w:val="0083339E"/>
    <w:rsid w:val="008366DD"/>
    <w:rsid w:val="0085118F"/>
    <w:rsid w:val="00851563"/>
    <w:rsid w:val="00871592"/>
    <w:rsid w:val="00876E06"/>
    <w:rsid w:val="008A4227"/>
    <w:rsid w:val="008B5CFF"/>
    <w:rsid w:val="008C58DA"/>
    <w:rsid w:val="008D2A7E"/>
    <w:rsid w:val="008D3C07"/>
    <w:rsid w:val="008E7453"/>
    <w:rsid w:val="008F6D77"/>
    <w:rsid w:val="00907311"/>
    <w:rsid w:val="009158FE"/>
    <w:rsid w:val="00917496"/>
    <w:rsid w:val="00917B8B"/>
    <w:rsid w:val="009223F4"/>
    <w:rsid w:val="0092282F"/>
    <w:rsid w:val="0092761B"/>
    <w:rsid w:val="0094664C"/>
    <w:rsid w:val="009467CF"/>
    <w:rsid w:val="009571BD"/>
    <w:rsid w:val="009635BF"/>
    <w:rsid w:val="00970904"/>
    <w:rsid w:val="00972C6E"/>
    <w:rsid w:val="00983F8D"/>
    <w:rsid w:val="009906DC"/>
    <w:rsid w:val="00992C44"/>
    <w:rsid w:val="00993F32"/>
    <w:rsid w:val="009943B6"/>
    <w:rsid w:val="00994DF2"/>
    <w:rsid w:val="009A4036"/>
    <w:rsid w:val="009A7E1C"/>
    <w:rsid w:val="009C6EC2"/>
    <w:rsid w:val="009D1FC5"/>
    <w:rsid w:val="009D4014"/>
    <w:rsid w:val="009D763D"/>
    <w:rsid w:val="009E5A30"/>
    <w:rsid w:val="009F271F"/>
    <w:rsid w:val="009F6307"/>
    <w:rsid w:val="00A016E9"/>
    <w:rsid w:val="00A0430F"/>
    <w:rsid w:val="00A0477C"/>
    <w:rsid w:val="00A1062B"/>
    <w:rsid w:val="00A15BCE"/>
    <w:rsid w:val="00A33EDF"/>
    <w:rsid w:val="00A34A75"/>
    <w:rsid w:val="00A456CF"/>
    <w:rsid w:val="00A51460"/>
    <w:rsid w:val="00A5494F"/>
    <w:rsid w:val="00A60231"/>
    <w:rsid w:val="00A70683"/>
    <w:rsid w:val="00A7567D"/>
    <w:rsid w:val="00A77779"/>
    <w:rsid w:val="00A83C79"/>
    <w:rsid w:val="00A83CA6"/>
    <w:rsid w:val="00A924C5"/>
    <w:rsid w:val="00A963F8"/>
    <w:rsid w:val="00AA3391"/>
    <w:rsid w:val="00AA61EB"/>
    <w:rsid w:val="00AB50B4"/>
    <w:rsid w:val="00AE1059"/>
    <w:rsid w:val="00AE2E21"/>
    <w:rsid w:val="00AF68F0"/>
    <w:rsid w:val="00B01903"/>
    <w:rsid w:val="00B052FD"/>
    <w:rsid w:val="00B106E0"/>
    <w:rsid w:val="00B118AD"/>
    <w:rsid w:val="00B159E4"/>
    <w:rsid w:val="00B20B02"/>
    <w:rsid w:val="00B24DF9"/>
    <w:rsid w:val="00B322AA"/>
    <w:rsid w:val="00B350A9"/>
    <w:rsid w:val="00B4341E"/>
    <w:rsid w:val="00B53345"/>
    <w:rsid w:val="00B54F4D"/>
    <w:rsid w:val="00B557BC"/>
    <w:rsid w:val="00B5766C"/>
    <w:rsid w:val="00B63C27"/>
    <w:rsid w:val="00B66997"/>
    <w:rsid w:val="00B7008A"/>
    <w:rsid w:val="00B70D08"/>
    <w:rsid w:val="00B76EDD"/>
    <w:rsid w:val="00B82D4B"/>
    <w:rsid w:val="00B9228D"/>
    <w:rsid w:val="00B952BC"/>
    <w:rsid w:val="00B95855"/>
    <w:rsid w:val="00BA2F58"/>
    <w:rsid w:val="00BA461C"/>
    <w:rsid w:val="00BB2163"/>
    <w:rsid w:val="00BB2E4F"/>
    <w:rsid w:val="00BC4EE5"/>
    <w:rsid w:val="00BC4F65"/>
    <w:rsid w:val="00BE0A9C"/>
    <w:rsid w:val="00BE44B1"/>
    <w:rsid w:val="00BF4191"/>
    <w:rsid w:val="00BF56C1"/>
    <w:rsid w:val="00C0354C"/>
    <w:rsid w:val="00C07473"/>
    <w:rsid w:val="00C16881"/>
    <w:rsid w:val="00C20710"/>
    <w:rsid w:val="00C219B0"/>
    <w:rsid w:val="00C26F51"/>
    <w:rsid w:val="00C30693"/>
    <w:rsid w:val="00C321D3"/>
    <w:rsid w:val="00C343BA"/>
    <w:rsid w:val="00C40E3C"/>
    <w:rsid w:val="00C45799"/>
    <w:rsid w:val="00C45E13"/>
    <w:rsid w:val="00C540EC"/>
    <w:rsid w:val="00C64658"/>
    <w:rsid w:val="00C73628"/>
    <w:rsid w:val="00C9397C"/>
    <w:rsid w:val="00C93E57"/>
    <w:rsid w:val="00C9538B"/>
    <w:rsid w:val="00CA1307"/>
    <w:rsid w:val="00CA73B9"/>
    <w:rsid w:val="00CA79CC"/>
    <w:rsid w:val="00CB06C2"/>
    <w:rsid w:val="00CB0FC2"/>
    <w:rsid w:val="00CB6A06"/>
    <w:rsid w:val="00CC1731"/>
    <w:rsid w:val="00CC236B"/>
    <w:rsid w:val="00CC4E49"/>
    <w:rsid w:val="00CC715E"/>
    <w:rsid w:val="00CE1EAD"/>
    <w:rsid w:val="00CE4DA1"/>
    <w:rsid w:val="00CF24EC"/>
    <w:rsid w:val="00D023E5"/>
    <w:rsid w:val="00D02961"/>
    <w:rsid w:val="00D033F2"/>
    <w:rsid w:val="00D0706A"/>
    <w:rsid w:val="00D13EAB"/>
    <w:rsid w:val="00D15E0A"/>
    <w:rsid w:val="00D22BD9"/>
    <w:rsid w:val="00D27758"/>
    <w:rsid w:val="00D34A24"/>
    <w:rsid w:val="00D36165"/>
    <w:rsid w:val="00D402FB"/>
    <w:rsid w:val="00D4576B"/>
    <w:rsid w:val="00D556C0"/>
    <w:rsid w:val="00D56E03"/>
    <w:rsid w:val="00D618AA"/>
    <w:rsid w:val="00D63173"/>
    <w:rsid w:val="00D72A64"/>
    <w:rsid w:val="00D743BA"/>
    <w:rsid w:val="00D8719C"/>
    <w:rsid w:val="00D87DEE"/>
    <w:rsid w:val="00D92CB3"/>
    <w:rsid w:val="00D931A9"/>
    <w:rsid w:val="00DA2C95"/>
    <w:rsid w:val="00DA4C80"/>
    <w:rsid w:val="00DA5B94"/>
    <w:rsid w:val="00DB223E"/>
    <w:rsid w:val="00DB5AC9"/>
    <w:rsid w:val="00DB6243"/>
    <w:rsid w:val="00DC50A7"/>
    <w:rsid w:val="00DC7096"/>
    <w:rsid w:val="00DD3746"/>
    <w:rsid w:val="00DD3E58"/>
    <w:rsid w:val="00DD43AF"/>
    <w:rsid w:val="00DE1368"/>
    <w:rsid w:val="00DF5830"/>
    <w:rsid w:val="00E0350B"/>
    <w:rsid w:val="00E064C5"/>
    <w:rsid w:val="00E0749C"/>
    <w:rsid w:val="00E10E6C"/>
    <w:rsid w:val="00E11758"/>
    <w:rsid w:val="00E2323E"/>
    <w:rsid w:val="00E233B5"/>
    <w:rsid w:val="00E63761"/>
    <w:rsid w:val="00E65FC6"/>
    <w:rsid w:val="00E660C6"/>
    <w:rsid w:val="00E70A56"/>
    <w:rsid w:val="00E71341"/>
    <w:rsid w:val="00E727A8"/>
    <w:rsid w:val="00E77DFC"/>
    <w:rsid w:val="00E82239"/>
    <w:rsid w:val="00E87E5C"/>
    <w:rsid w:val="00E911F1"/>
    <w:rsid w:val="00EA3EC3"/>
    <w:rsid w:val="00EB6371"/>
    <w:rsid w:val="00EB6CD7"/>
    <w:rsid w:val="00EB7702"/>
    <w:rsid w:val="00EC0333"/>
    <w:rsid w:val="00EE12F7"/>
    <w:rsid w:val="00EE38E9"/>
    <w:rsid w:val="00EF03C7"/>
    <w:rsid w:val="00EF0B40"/>
    <w:rsid w:val="00F21A1D"/>
    <w:rsid w:val="00F25A16"/>
    <w:rsid w:val="00F27C59"/>
    <w:rsid w:val="00F30EE6"/>
    <w:rsid w:val="00F31D34"/>
    <w:rsid w:val="00F32F7F"/>
    <w:rsid w:val="00F33905"/>
    <w:rsid w:val="00F36166"/>
    <w:rsid w:val="00F42AFB"/>
    <w:rsid w:val="00F42D0D"/>
    <w:rsid w:val="00F44D7F"/>
    <w:rsid w:val="00F5018C"/>
    <w:rsid w:val="00F619CC"/>
    <w:rsid w:val="00F67384"/>
    <w:rsid w:val="00F7078D"/>
    <w:rsid w:val="00F81285"/>
    <w:rsid w:val="00F83EBF"/>
    <w:rsid w:val="00F9132C"/>
    <w:rsid w:val="00F95791"/>
    <w:rsid w:val="00F95B1C"/>
    <w:rsid w:val="00F969CF"/>
    <w:rsid w:val="00FA0D31"/>
    <w:rsid w:val="00FA2671"/>
    <w:rsid w:val="00FA3915"/>
    <w:rsid w:val="00FA55F7"/>
    <w:rsid w:val="00FA6A41"/>
    <w:rsid w:val="00FB6E21"/>
    <w:rsid w:val="00FD1B97"/>
    <w:rsid w:val="00FD6790"/>
    <w:rsid w:val="00FE3EA9"/>
    <w:rsid w:val="00FE7AA7"/>
    <w:rsid w:val="00FF326C"/>
    <w:rsid w:val="052464B2"/>
    <w:rsid w:val="10936CE9"/>
    <w:rsid w:val="12D65F4E"/>
    <w:rsid w:val="173855E8"/>
    <w:rsid w:val="1F9B4F9C"/>
    <w:rsid w:val="233E1FC7"/>
    <w:rsid w:val="23BA2182"/>
    <w:rsid w:val="2A1756A4"/>
    <w:rsid w:val="2BA74800"/>
    <w:rsid w:val="2E6E15CB"/>
    <w:rsid w:val="30801AC4"/>
    <w:rsid w:val="317D5DCC"/>
    <w:rsid w:val="34933C2D"/>
    <w:rsid w:val="35A573A6"/>
    <w:rsid w:val="3A3127F3"/>
    <w:rsid w:val="3F800712"/>
    <w:rsid w:val="41C31086"/>
    <w:rsid w:val="49183EDE"/>
    <w:rsid w:val="4EEE2F28"/>
    <w:rsid w:val="597E622C"/>
    <w:rsid w:val="59847A37"/>
    <w:rsid w:val="59C43C1B"/>
    <w:rsid w:val="66877DD6"/>
    <w:rsid w:val="66F21D68"/>
    <w:rsid w:val="67214103"/>
    <w:rsid w:val="70176DBE"/>
    <w:rsid w:val="72B97534"/>
    <w:rsid w:val="75925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ABBF5"/>
  <w15:docId w15:val="{5FDFCBB3-4BF3-4641-BE0C-88997D780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First Indent"/>
    <w:basedOn w:val="a5"/>
    <w:qFormat/>
    <w:pPr>
      <w:spacing w:after="0"/>
      <w:ind w:firstLineChars="100" w:firstLine="420"/>
    </w:pPr>
    <w:rPr>
      <w:szCs w:val="21"/>
    </w:rPr>
  </w:style>
  <w:style w:type="paragraph" w:styleId="a5">
    <w:name w:val="Body Text"/>
    <w:basedOn w:val="a0"/>
    <w:uiPriority w:val="99"/>
    <w:semiHidden/>
    <w:unhideWhenUsed/>
    <w:qFormat/>
    <w:pPr>
      <w:spacing w:after="120"/>
    </w:pPr>
  </w:style>
  <w:style w:type="paragraph" w:styleId="TOC3">
    <w:name w:val="toc 3"/>
    <w:basedOn w:val="a0"/>
    <w:next w:val="a0"/>
    <w:uiPriority w:val="39"/>
    <w:unhideWhenUsed/>
    <w:qFormat/>
    <w:pPr>
      <w:ind w:leftChars="400" w:left="840"/>
    </w:pPr>
  </w:style>
  <w:style w:type="paragraph" w:styleId="a6">
    <w:name w:val="footer"/>
    <w:basedOn w:val="a0"/>
    <w:link w:val="a7"/>
    <w:uiPriority w:val="99"/>
    <w:unhideWhenUsed/>
    <w:qFormat/>
    <w:pPr>
      <w:tabs>
        <w:tab w:val="center" w:pos="4153"/>
        <w:tab w:val="right" w:pos="8306"/>
      </w:tabs>
      <w:snapToGrid w:val="0"/>
      <w:jc w:val="left"/>
    </w:pPr>
    <w:rPr>
      <w:sz w:val="18"/>
      <w:szCs w:val="18"/>
    </w:rPr>
  </w:style>
  <w:style w:type="paragraph" w:styleId="a8">
    <w:name w:val="header"/>
    <w:basedOn w:val="a0"/>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qFormat/>
    <w:pPr>
      <w:tabs>
        <w:tab w:val="right" w:leader="dot" w:pos="9060"/>
      </w:tabs>
      <w:spacing w:line="480" w:lineRule="auto"/>
    </w:pPr>
    <w:rPr>
      <w:rFonts w:ascii="宋体" w:eastAsia="宋体" w:hAnsi="宋体" w:cs="Times New Roman"/>
      <w:color w:val="FF0000"/>
      <w:sz w:val="24"/>
      <w:szCs w:val="24"/>
    </w:rPr>
  </w:style>
  <w:style w:type="paragraph" w:styleId="TOC2">
    <w:name w:val="toc 2"/>
    <w:basedOn w:val="a0"/>
    <w:next w:val="a0"/>
    <w:uiPriority w:val="39"/>
    <w:unhideWhenUsed/>
    <w:qFormat/>
    <w:pPr>
      <w:ind w:leftChars="200" w:left="420"/>
    </w:pPr>
  </w:style>
  <w:style w:type="paragraph" w:styleId="aa">
    <w:name w:val="Normal (Web)"/>
    <w:basedOn w:val="a0"/>
    <w:uiPriority w:val="99"/>
    <w:unhideWhenUsed/>
    <w:qFormat/>
    <w:pPr>
      <w:spacing w:beforeAutospacing="1" w:afterAutospacing="1"/>
      <w:jc w:val="left"/>
    </w:pPr>
    <w:rPr>
      <w:rFonts w:cs="Times New Roman"/>
      <w:kern w:val="0"/>
      <w:sz w:val="24"/>
    </w:rPr>
  </w:style>
  <w:style w:type="character" w:styleId="ab">
    <w:name w:val="Strong"/>
    <w:basedOn w:val="a2"/>
    <w:uiPriority w:val="22"/>
    <w:qFormat/>
    <w:rPr>
      <w:b/>
      <w:bCs/>
    </w:rPr>
  </w:style>
  <w:style w:type="character" w:styleId="ac">
    <w:name w:val="Hyperlink"/>
    <w:basedOn w:val="a2"/>
    <w:uiPriority w:val="99"/>
    <w:unhideWhenUsed/>
    <w:qFormat/>
    <w:rPr>
      <w:color w:val="0000FF" w:themeColor="hyperlink"/>
      <w:u w:val="single"/>
    </w:rPr>
  </w:style>
  <w:style w:type="table" w:styleId="a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2"/>
    <w:link w:val="a8"/>
    <w:uiPriority w:val="99"/>
    <w:qFormat/>
    <w:rPr>
      <w:sz w:val="18"/>
      <w:szCs w:val="18"/>
    </w:rPr>
  </w:style>
  <w:style w:type="character" w:customStyle="1" w:styleId="a7">
    <w:name w:val="页脚 字符"/>
    <w:basedOn w:val="a2"/>
    <w:link w:val="a6"/>
    <w:uiPriority w:val="99"/>
    <w:qFormat/>
    <w:rPr>
      <w:sz w:val="18"/>
      <w:szCs w:val="18"/>
    </w:rPr>
  </w:style>
  <w:style w:type="character" w:customStyle="1" w:styleId="10">
    <w:name w:val="标题 1 字符"/>
    <w:basedOn w:val="a2"/>
    <w:link w:val="1"/>
    <w:uiPriority w:val="9"/>
    <w:qFormat/>
    <w:rPr>
      <w:b/>
      <w:bCs/>
      <w:kern w:val="44"/>
      <w:sz w:val="44"/>
      <w:szCs w:val="44"/>
    </w:rPr>
  </w:style>
  <w:style w:type="character" w:customStyle="1" w:styleId="20">
    <w:name w:val="标题 2 字符"/>
    <w:basedOn w:val="a2"/>
    <w:link w:val="2"/>
    <w:uiPriority w:val="9"/>
    <w:qFormat/>
    <w:rPr>
      <w:rFonts w:asciiTheme="majorHAnsi" w:eastAsiaTheme="majorEastAsia" w:hAnsiTheme="majorHAnsi" w:cstheme="majorBidi"/>
      <w:b/>
      <w:bCs/>
      <w:sz w:val="32"/>
      <w:szCs w:val="32"/>
    </w:rPr>
  </w:style>
  <w:style w:type="character" w:customStyle="1" w:styleId="30">
    <w:name w:val="标题 3 字符"/>
    <w:basedOn w:val="a2"/>
    <w:link w:val="3"/>
    <w:uiPriority w:val="9"/>
    <w:qFormat/>
    <w:rPr>
      <w:b/>
      <w:bCs/>
      <w:sz w:val="32"/>
      <w:szCs w:val="32"/>
    </w:rPr>
  </w:style>
  <w:style w:type="paragraph" w:customStyle="1" w:styleId="ae">
    <w:name w:val="段"/>
    <w:link w:val="Char"/>
    <w:uiPriority w:val="99"/>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basedOn w:val="a2"/>
    <w:link w:val="ae"/>
    <w:uiPriority w:val="99"/>
    <w:qFormat/>
    <w:rPr>
      <w:rFonts w:ascii="宋体" w:eastAsia="宋体" w:hAnsi="Times New Roman" w:cs="Times New Roman"/>
      <w:kern w:val="0"/>
      <w:szCs w:val="20"/>
    </w:rPr>
  </w:style>
  <w:style w:type="paragraph" w:customStyle="1" w:styleId="TOC10">
    <w:name w:val="TOC 标题1"/>
    <w:basedOn w:val="1"/>
    <w:next w:val="a0"/>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f">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rPr>
  </w:style>
  <w:style w:type="paragraph" w:customStyle="1" w:styleId="af0">
    <w:name w:val="一级条标题"/>
    <w:next w:val="ae"/>
    <w:qFormat/>
    <w:pPr>
      <w:spacing w:beforeLines="50" w:afterLines="50"/>
      <w:outlineLvl w:val="2"/>
    </w:pPr>
    <w:rPr>
      <w:rFonts w:ascii="黑体" w:eastAsia="黑体"/>
      <w:sz w:val="21"/>
      <w:szCs w:val="21"/>
    </w:rPr>
  </w:style>
  <w:style w:type="paragraph" w:styleId="af1">
    <w:name w:val="List Paragraph"/>
    <w:basedOn w:val="a0"/>
    <w:uiPriority w:val="99"/>
    <w:qFormat/>
    <w:pPr>
      <w:ind w:firstLineChars="200" w:firstLine="420"/>
    </w:pPr>
  </w:style>
  <w:style w:type="paragraph" w:customStyle="1" w:styleId="a">
    <w:name w:val="附录章标题"/>
    <w:next w:val="ae"/>
    <w:qFormat/>
    <w:pPr>
      <w:numPr>
        <w:ilvl w:val="1"/>
        <w:numId w:val="1"/>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9ACC54-7559-4DB4-B9CB-EC7074CD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1983</Words>
  <Characters>11306</Characters>
  <Application>Microsoft Office Word</Application>
  <DocSecurity>0</DocSecurity>
  <Lines>94</Lines>
  <Paragraphs>26</Paragraphs>
  <ScaleCrop>false</ScaleCrop>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55</cp:revision>
  <cp:lastPrinted>2025-04-07T02:52:00Z</cp:lastPrinted>
  <dcterms:created xsi:type="dcterms:W3CDTF">2022-09-02T07:22:00Z</dcterms:created>
  <dcterms:modified xsi:type="dcterms:W3CDTF">2025-04-07T02:52:00Z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E061B9E8375947D29C47970F6B700367</vt:lpwstr>
  </property>
</Properties>
</file>